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4D91B">
      <w:pPr>
        <w:rPr>
          <w:rFonts w:ascii="仿宋_GB2312" w:hAnsi="Times New Roman" w:eastAsia="仿宋_GB2312"/>
        </w:rPr>
      </w:pPr>
    </w:p>
    <w:p w14:paraId="63546985">
      <w:pPr>
        <w:rPr>
          <w:rFonts w:ascii="仿宋_GB2312" w:eastAsia="仿宋_GB2312"/>
          <w:b/>
          <w:sz w:val="28"/>
        </w:rPr>
      </w:pPr>
      <w:r>
        <w:rPr>
          <w:rFonts w:hint="eastAsia" w:ascii="仿宋_GB2312" w:hAnsi="Times New Roman" w:eastAsia="仿宋_GB2312"/>
        </w:rPr>
        <w:t xml:space="preserve">      </w:t>
      </w:r>
      <w:r>
        <w:rPr>
          <w:rFonts w:ascii="仿宋_GB2312" w:hAnsi="Times New Roman" w:eastAsia="仿宋_GB2312"/>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800100" cy="755015"/>
                    </a:xfrm>
                    <a:prstGeom prst="rect">
                      <a:avLst/>
                    </a:prstGeom>
                    <a:noFill/>
                    <a:ln w="9525">
                      <a:noFill/>
                    </a:ln>
                  </pic:spPr>
                </pic:pic>
              </a:graphicData>
            </a:graphic>
          </wp:inline>
        </w:drawing>
      </w:r>
    </w:p>
    <w:p w14:paraId="7AAE541A">
      <w:pPr>
        <w:rPr>
          <w:rFonts w:ascii="仿宋_GB2312" w:eastAsia="仿宋_GB2312"/>
          <w:b/>
          <w:sz w:val="28"/>
        </w:rPr>
      </w:pPr>
      <w:r>
        <w:rPr>
          <w:rFonts w:hint="eastAsia" w:ascii="仿宋_GB2312" w:eastAsia="仿宋_GB2312"/>
          <w:b/>
          <w:sz w:val="28"/>
        </w:rPr>
        <w:t>佛山电建集团有限公司</w:t>
      </w:r>
    </w:p>
    <w:p w14:paraId="694CED6E">
      <w:pPr>
        <w:tabs>
          <w:tab w:val="left" w:pos="6520"/>
        </w:tabs>
        <w:rPr>
          <w:rFonts w:ascii="仿宋_GB2312" w:eastAsia="仿宋_GB2312"/>
          <w:b/>
          <w:sz w:val="28"/>
        </w:rPr>
      </w:pPr>
      <w:r>
        <w:rPr>
          <w:rFonts w:hint="eastAsia" w:ascii="仿宋_GB2312" w:hAnsi="Times New Roman" w:eastAsia="仿宋_GB2312"/>
          <w:b/>
        </w:rPr>
        <w:tab/>
      </w:r>
    </w:p>
    <w:p w14:paraId="794D521B">
      <w:pPr>
        <w:ind w:firstLine="1687" w:firstLineChars="200"/>
        <w:rPr>
          <w:rFonts w:ascii="仿宋_GB2312" w:eastAsia="仿宋_GB2312"/>
          <w:b/>
          <w:sz w:val="84"/>
        </w:rPr>
      </w:pPr>
      <w:r>
        <w:rPr>
          <w:rFonts w:hint="eastAsia" w:ascii="仿宋_GB2312" w:eastAsia="仿宋_GB2312"/>
          <w:b/>
          <w:sz w:val="84"/>
        </w:rPr>
        <w:t xml:space="preserve"> </w:t>
      </w:r>
    </w:p>
    <w:p w14:paraId="3B94381A">
      <w:pPr>
        <w:pStyle w:val="2"/>
        <w:rPr>
          <w:rFonts w:ascii="仿宋_GB2312" w:eastAsia="仿宋_GB2312"/>
          <w:b/>
          <w:sz w:val="84"/>
        </w:rPr>
      </w:pPr>
    </w:p>
    <w:p w14:paraId="61D44431">
      <w:pPr>
        <w:ind w:firstLine="1687" w:firstLineChars="200"/>
        <w:rPr>
          <w:rFonts w:ascii="仿宋_GB2312" w:eastAsia="仿宋_GB2312"/>
          <w:b/>
          <w:sz w:val="84"/>
        </w:rPr>
      </w:pPr>
      <w:r>
        <w:rPr>
          <w:rFonts w:hint="eastAsia" w:ascii="仿宋_GB2312" w:eastAsia="仿宋_GB2312"/>
          <w:b/>
          <w:sz w:val="84"/>
        </w:rPr>
        <w:t>安全生产月报</w:t>
      </w:r>
    </w:p>
    <w:p w14:paraId="2A917243">
      <w:pPr>
        <w:ind w:firstLine="1124"/>
        <w:jc w:val="center"/>
        <w:rPr>
          <w:rFonts w:ascii="仿宋_GB2312" w:eastAsia="仿宋_GB2312"/>
          <w:b/>
          <w:color w:val="FF0000"/>
          <w:sz w:val="32"/>
        </w:rPr>
      </w:pPr>
    </w:p>
    <w:p w14:paraId="09C0B7E0">
      <w:pPr>
        <w:jc w:val="center"/>
        <w:rPr>
          <w:rFonts w:ascii="仿宋_GB2312" w:hAnsi="Times New Roman" w:eastAsia="仿宋_GB2312"/>
          <w:b/>
          <w:color w:val="000000" w:themeColor="text1"/>
          <w:sz w:val="32"/>
          <w14:textFill>
            <w14:solidFill>
              <w14:schemeClr w14:val="tx1"/>
            </w14:solidFill>
          </w14:textFill>
        </w:rPr>
      </w:pPr>
      <w:r>
        <w:rPr>
          <w:rFonts w:hint="eastAsia" w:ascii="仿宋_GB2312" w:eastAsia="仿宋_GB2312"/>
          <w:b/>
          <w:color w:val="000000" w:themeColor="text1"/>
          <w:sz w:val="32"/>
          <w14:textFill>
            <w14:solidFill>
              <w14:schemeClr w14:val="tx1"/>
            </w14:solidFill>
          </w14:textFill>
        </w:rPr>
        <w:t>2025年2月第2期（</w:t>
      </w:r>
      <w:r>
        <w:rPr>
          <w:rFonts w:hint="eastAsia" w:ascii="仿宋_GB2312" w:hAnsi="Times New Roman" w:eastAsia="仿宋_GB2312"/>
          <w:b/>
          <w:color w:val="000000" w:themeColor="text1"/>
          <w:sz w:val="32"/>
          <w14:textFill>
            <w14:solidFill>
              <w14:schemeClr w14:val="tx1"/>
            </w14:solidFill>
          </w14:textFill>
        </w:rPr>
        <w:t>总第229期）</w:t>
      </w:r>
    </w:p>
    <w:p w14:paraId="60F29DB7">
      <w:pPr>
        <w:rPr>
          <w:rFonts w:ascii="仿宋_GB2312" w:hAnsi="Times New Roman" w:eastAsia="仿宋_GB2312"/>
          <w:b/>
          <w:color w:val="000000" w:themeColor="text1"/>
          <w:sz w:val="32"/>
          <w14:textFill>
            <w14:solidFill>
              <w14:schemeClr w14:val="tx1"/>
            </w14:solidFill>
          </w14:textFill>
        </w:rPr>
      </w:pPr>
      <w:r>
        <w:rPr>
          <w:rFonts w:hint="eastAsia" w:ascii="仿宋_GB2312" w:hAnsi="Times New Roman" w:eastAsia="仿宋_GB2312"/>
          <w:b/>
          <w:color w:val="000000" w:themeColor="text1"/>
          <w:sz w:val="32"/>
          <w14:textFill>
            <w14:solidFill>
              <w14:schemeClr w14:val="tx1"/>
            </w14:solidFill>
          </w14:textFill>
        </w:rPr>
        <w:t xml:space="preserve">         佛山电建集团有限公司安全生产委员会</w:t>
      </w:r>
    </w:p>
    <w:p w14:paraId="2EC716F8">
      <w:pPr>
        <w:rPr>
          <w:rFonts w:ascii="仿宋_GB2312" w:hAnsi="Times New Roman" w:eastAsia="仿宋_GB2312"/>
          <w:b/>
          <w:color w:val="000000" w:themeColor="text1"/>
          <w:sz w:val="32"/>
          <w:u w:val="single"/>
          <w14:textFill>
            <w14:solidFill>
              <w14:schemeClr w14:val="tx1"/>
            </w14:solidFill>
          </w14:textFill>
        </w:rPr>
      </w:pPr>
    </w:p>
    <w:p w14:paraId="07C690B8">
      <w:pPr>
        <w:rPr>
          <w:rFonts w:ascii="仿宋_GB2312" w:hAnsi="Times New Roman" w:eastAsia="仿宋_GB2312"/>
          <w:b/>
          <w:color w:val="000000" w:themeColor="text1"/>
          <w:sz w:val="32"/>
          <w:u w:val="single"/>
          <w14:textFill>
            <w14:solidFill>
              <w14:schemeClr w14:val="tx1"/>
            </w14:solidFill>
          </w14:textFill>
        </w:rPr>
      </w:pPr>
    </w:p>
    <w:p w14:paraId="0F7A5707">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18691F0B">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二、2月份安全情况</w:t>
      </w:r>
    </w:p>
    <w:p w14:paraId="272D2D54">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三、2月份安全生产主要工作</w:t>
      </w:r>
    </w:p>
    <w:p w14:paraId="3380D8A8">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4A6B1617">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五、2025年3月份主要工作计划</w:t>
      </w:r>
    </w:p>
    <w:p w14:paraId="45199254">
      <w:pPr>
        <w:tabs>
          <w:tab w:val="left" w:pos="360"/>
        </w:tabs>
        <w:rPr>
          <w:rFonts w:ascii="仿宋_GB2312" w:eastAsia="仿宋_GB2312"/>
          <w:b/>
          <w:color w:val="000000" w:themeColor="text1"/>
          <w:sz w:val="28"/>
          <w14:textFill>
            <w14:solidFill>
              <w14:schemeClr w14:val="tx1"/>
            </w14:solidFill>
          </w14:textFill>
        </w:rPr>
      </w:pPr>
    </w:p>
    <w:p w14:paraId="142EE29A">
      <w:pPr>
        <w:tabs>
          <w:tab w:val="left" w:pos="360"/>
        </w:tabs>
        <w:rPr>
          <w:rFonts w:ascii="仿宋_GB2312" w:eastAsia="仿宋_GB2312"/>
          <w:b/>
          <w:color w:val="000000" w:themeColor="text1"/>
          <w:sz w:val="28"/>
          <w14:textFill>
            <w14:solidFill>
              <w14:schemeClr w14:val="tx1"/>
            </w14:solidFill>
          </w14:textFill>
        </w:rPr>
      </w:pPr>
    </w:p>
    <w:p w14:paraId="78A268E4">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4B40726E">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（一）事故报表（2月份）</w:t>
      </w:r>
    </w:p>
    <w:tbl>
      <w:tblPr>
        <w:tblStyle w:val="12"/>
        <w:tblW w:w="9021" w:type="dxa"/>
        <w:tblInd w:w="-626" w:type="dxa"/>
        <w:tblLayout w:type="fixed"/>
        <w:tblCellMar>
          <w:top w:w="0" w:type="dxa"/>
          <w:left w:w="108" w:type="dxa"/>
          <w:bottom w:w="0" w:type="dxa"/>
          <w:right w:w="108" w:type="dxa"/>
        </w:tblCellMar>
      </w:tblPr>
      <w:tblGrid>
        <w:gridCol w:w="2894"/>
        <w:gridCol w:w="1111"/>
        <w:gridCol w:w="972"/>
        <w:gridCol w:w="1032"/>
        <w:gridCol w:w="1008"/>
        <w:gridCol w:w="984"/>
        <w:gridCol w:w="1020"/>
      </w:tblGrid>
      <w:tr w14:paraId="7210A0D5">
        <w:tblPrEx>
          <w:tblCellMar>
            <w:top w:w="0" w:type="dxa"/>
            <w:left w:w="108" w:type="dxa"/>
            <w:bottom w:w="0" w:type="dxa"/>
            <w:right w:w="108" w:type="dxa"/>
          </w:tblCellMar>
        </w:tblPrEx>
        <w:trPr>
          <w:trHeight w:val="831" w:hRule="atLeast"/>
        </w:trPr>
        <w:tc>
          <w:tcPr>
            <w:tcW w:w="2894" w:type="dxa"/>
            <w:tcBorders>
              <w:top w:val="single" w:color="000000" w:sz="4" w:space="0"/>
              <w:left w:val="single" w:color="000000" w:sz="4" w:space="0"/>
              <w:bottom w:val="single" w:color="000000" w:sz="4" w:space="0"/>
              <w:right w:val="single" w:color="000000" w:sz="4" w:space="0"/>
              <w:tl2br w:val="single" w:color="auto" w:sz="4" w:space="0"/>
            </w:tcBorders>
            <w:noWrap/>
            <w:vAlign w:val="center"/>
          </w:tcPr>
          <w:p w14:paraId="6EB8F738">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 xml:space="preserve">        单位</w:t>
            </w:r>
          </w:p>
          <w:p w14:paraId="7E8EE749">
            <w:pP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事故类别</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5B3CBF52">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恒益热电厂</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8499C3">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福能电厂</w:t>
            </w:r>
          </w:p>
        </w:tc>
        <w:tc>
          <w:tcPr>
            <w:tcW w:w="1032"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43C9A0CE">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08"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3EA28799">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高顿泰公司</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5B0B7E41">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粤构公司</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6EDCBA2">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绿能</w:t>
            </w:r>
            <w:r>
              <w:rPr>
                <w:rFonts w:ascii="仿宋_GB2312" w:hAnsi="Times New Roman" w:eastAsia="仿宋_GB2312"/>
                <w:color w:val="000000" w:themeColor="text1"/>
                <w:kern w:val="2"/>
                <w:sz w:val="24"/>
                <w:szCs w:val="22"/>
                <w14:textFill>
                  <w14:solidFill>
                    <w14:schemeClr w14:val="tx1"/>
                  </w14:solidFill>
                </w14:textFill>
              </w:rPr>
              <w:t>公司</w:t>
            </w:r>
          </w:p>
        </w:tc>
      </w:tr>
      <w:tr w14:paraId="785FAFBE">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5D97E658">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生产安全事故引发的重大社会事件本月（年）次数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202A26F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067460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6E8D80F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5B0E471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65EBDF2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20688B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010FEE8F">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3F62375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管理缺陷引发的重大停产停业事件本月（年）次数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7F8971AF">
            <w:pPr>
              <w:jc w:val="center"/>
              <w:rPr>
                <w:rFonts w:hint="eastAsia" w:ascii="仿宋_GB2312" w:hAnsi="Times New Roman" w:eastAsia="仿宋_GB2312"/>
                <w:bCs/>
                <w:color w:val="000000" w:themeColor="text1"/>
                <w:kern w:val="2"/>
                <w:sz w:val="24"/>
                <w:szCs w:val="22"/>
                <w:lang w:eastAsia="zh-CN"/>
                <w14:textFill>
                  <w14:solidFill>
                    <w14:schemeClr w14:val="tx1"/>
                  </w14:solidFill>
                </w14:textFill>
              </w:rPr>
            </w:pPr>
            <w:r>
              <w:rPr>
                <w:rFonts w:hint="eastAsia" w:ascii="仿宋_GB2312" w:hAnsi="Times New Roman" w:eastAsia="仿宋_GB2312"/>
                <w:bCs/>
                <w:color w:val="000000" w:themeColor="text1"/>
                <w:kern w:val="2"/>
                <w:sz w:val="24"/>
                <w:szCs w:val="22"/>
                <w:lang w:eastAsia="zh-CN"/>
                <w14:textFill>
                  <w14:solidFill>
                    <w14:schemeClr w14:val="tx1"/>
                  </w14:solidFill>
                </w14:textFill>
              </w:rPr>
              <w:t>待定</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6E46B3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6CFFD7C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1161B97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5FA0E28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0F4865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6051A7D2">
        <w:tblPrEx>
          <w:tblCellMar>
            <w:top w:w="0" w:type="dxa"/>
            <w:left w:w="108" w:type="dxa"/>
            <w:bottom w:w="0" w:type="dxa"/>
            <w:right w:w="108" w:type="dxa"/>
          </w:tblCellMar>
        </w:tblPrEx>
        <w:trPr>
          <w:trHeight w:val="439"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0B0C546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火灾事故本月（年）次数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072395A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73D04D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451086D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339EF69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6FE6936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5F9579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4AA37F6C">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6FAEFBF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重伤以上生产安全事故</w:t>
            </w:r>
          </w:p>
          <w:p w14:paraId="6F215B8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63DA0DC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0BCE1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27742F0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515DD97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393F3A9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24FF7A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670285F1">
        <w:tblPrEx>
          <w:tblCellMar>
            <w:top w:w="0" w:type="dxa"/>
            <w:left w:w="108" w:type="dxa"/>
            <w:bottom w:w="0" w:type="dxa"/>
            <w:right w:w="108" w:type="dxa"/>
          </w:tblCellMar>
        </w:tblPrEx>
        <w:trPr>
          <w:trHeight w:val="452"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581BB54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环保事故本月（年）次数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5F3C388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971499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282DE37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063909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27DF3C4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737F9F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58FB0B32">
        <w:tblPrEx>
          <w:tblCellMar>
            <w:top w:w="0" w:type="dxa"/>
            <w:left w:w="108" w:type="dxa"/>
            <w:bottom w:w="0" w:type="dxa"/>
            <w:right w:w="108" w:type="dxa"/>
          </w:tblCellMar>
        </w:tblPrEx>
        <w:tc>
          <w:tcPr>
            <w:tcW w:w="2894" w:type="dxa"/>
            <w:tcBorders>
              <w:top w:val="single" w:color="000000" w:sz="4" w:space="0"/>
              <w:left w:val="single" w:color="000000" w:sz="4" w:space="0"/>
              <w:bottom w:val="single" w:color="000000" w:sz="4" w:space="0"/>
              <w:right w:val="single" w:color="000000" w:sz="4" w:space="0"/>
            </w:tcBorders>
            <w:noWrap/>
            <w:vAlign w:val="center"/>
          </w:tcPr>
          <w:p w14:paraId="1E939259">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较大职业卫生事故</w:t>
            </w:r>
          </w:p>
          <w:p w14:paraId="6E75C15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7984342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21E903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7949346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6139962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0EB97E8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6850BD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3FC38F2F">
        <w:tblPrEx>
          <w:tblCellMar>
            <w:top w:w="0" w:type="dxa"/>
            <w:left w:w="108" w:type="dxa"/>
            <w:bottom w:w="0" w:type="dxa"/>
            <w:right w:w="108" w:type="dxa"/>
          </w:tblCellMar>
        </w:tblPrEx>
        <w:trPr>
          <w:trHeight w:val="581"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65C1588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重大事故隐患动态清零</w:t>
            </w:r>
          </w:p>
          <w:p w14:paraId="2AAB9AD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本月（年）次数</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49E5C33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967EBE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5423EEE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5559556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599DD18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1B3A3C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77D8CCB">
        <w:tblPrEx>
          <w:tblCellMar>
            <w:top w:w="0" w:type="dxa"/>
            <w:left w:w="108" w:type="dxa"/>
            <w:bottom w:w="0" w:type="dxa"/>
            <w:right w:w="108" w:type="dxa"/>
          </w:tblCellMar>
        </w:tblPrEx>
        <w:trPr>
          <w:trHeight w:val="461" w:hRule="atLeast"/>
        </w:trPr>
        <w:tc>
          <w:tcPr>
            <w:tcW w:w="2894" w:type="dxa"/>
            <w:tcBorders>
              <w:top w:val="single" w:color="000000" w:sz="4" w:space="0"/>
              <w:left w:val="single" w:color="000000" w:sz="4" w:space="0"/>
              <w:bottom w:val="single" w:color="000000" w:sz="4" w:space="0"/>
              <w:right w:val="single" w:color="000000" w:sz="4" w:space="0"/>
            </w:tcBorders>
            <w:noWrap/>
            <w:vAlign w:val="center"/>
          </w:tcPr>
          <w:p w14:paraId="3888AAD3">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合计</w:t>
            </w:r>
          </w:p>
        </w:tc>
        <w:tc>
          <w:tcPr>
            <w:tcW w:w="1111" w:type="dxa"/>
            <w:tcBorders>
              <w:top w:val="single" w:color="000000" w:sz="4" w:space="0"/>
              <w:left w:val="single" w:color="000000" w:sz="4" w:space="0"/>
              <w:bottom w:val="single" w:color="000000" w:sz="4" w:space="0"/>
              <w:right w:val="single" w:color="000000" w:sz="4" w:space="0"/>
            </w:tcBorders>
            <w:noWrap/>
            <w:vAlign w:val="center"/>
          </w:tcPr>
          <w:p w14:paraId="1DEC837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lang w:eastAsia="zh-CN"/>
                <w14:textFill>
                  <w14:solidFill>
                    <w14:schemeClr w14:val="tx1"/>
                  </w14:solidFill>
                </w14:textFill>
              </w:rPr>
              <w:t>待定</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8DE201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2" w:type="dxa"/>
            <w:tcBorders>
              <w:top w:val="single" w:color="000000" w:sz="4" w:space="0"/>
              <w:left w:val="single" w:color="000000" w:sz="4" w:space="0"/>
              <w:bottom w:val="single" w:color="000000" w:sz="4" w:space="0"/>
              <w:right w:val="single" w:color="000000" w:sz="4" w:space="0"/>
            </w:tcBorders>
            <w:noWrap/>
            <w:vAlign w:val="center"/>
          </w:tcPr>
          <w:p w14:paraId="58B187D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A65904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84" w:type="dxa"/>
            <w:tcBorders>
              <w:top w:val="single" w:color="000000" w:sz="4" w:space="0"/>
              <w:left w:val="single" w:color="000000" w:sz="4" w:space="0"/>
              <w:bottom w:val="single" w:color="000000" w:sz="4" w:space="0"/>
              <w:right w:val="single" w:color="000000" w:sz="4" w:space="0"/>
            </w:tcBorders>
            <w:noWrap/>
            <w:vAlign w:val="center"/>
          </w:tcPr>
          <w:p w14:paraId="5DDD054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2BE5EC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bl>
    <w:p w14:paraId="07624DB5">
      <w:pPr>
        <w:numPr>
          <w:ilvl w:val="0"/>
          <w:numId w:val="1"/>
        </w:num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管理报表（2月份）</w:t>
      </w:r>
    </w:p>
    <w:tbl>
      <w:tblPr>
        <w:tblStyle w:val="12"/>
        <w:tblpPr w:leftFromText="181" w:rightFromText="181" w:vertAnchor="text" w:horzAnchor="page" w:tblpX="817" w:tblpY="1"/>
        <w:tblOverlap w:val="never"/>
        <w:tblW w:w="6354" w:type="pct"/>
        <w:tblInd w:w="0" w:type="dxa"/>
        <w:tblLayout w:type="fixed"/>
        <w:tblCellMar>
          <w:top w:w="0" w:type="dxa"/>
          <w:left w:w="108" w:type="dxa"/>
          <w:bottom w:w="0" w:type="dxa"/>
          <w:right w:w="108" w:type="dxa"/>
        </w:tblCellMar>
      </w:tblPr>
      <w:tblGrid>
        <w:gridCol w:w="2696"/>
        <w:gridCol w:w="1020"/>
        <w:gridCol w:w="568"/>
        <w:gridCol w:w="406"/>
        <w:gridCol w:w="1087"/>
        <w:gridCol w:w="100"/>
        <w:gridCol w:w="913"/>
        <w:gridCol w:w="684"/>
        <w:gridCol w:w="245"/>
        <w:gridCol w:w="862"/>
        <w:gridCol w:w="490"/>
        <w:gridCol w:w="498"/>
        <w:gridCol w:w="1012"/>
      </w:tblGrid>
      <w:tr w14:paraId="70E1882F">
        <w:tblPrEx>
          <w:tblCellMar>
            <w:top w:w="0" w:type="dxa"/>
            <w:left w:w="108" w:type="dxa"/>
            <w:bottom w:w="0" w:type="dxa"/>
            <w:right w:w="108" w:type="dxa"/>
          </w:tblCellMar>
        </w:tblPrEx>
        <w:trPr>
          <w:trHeight w:val="420" w:hRule="atLeast"/>
        </w:trPr>
        <w:tc>
          <w:tcPr>
            <w:tcW w:w="2689" w:type="dxa"/>
            <w:vMerge w:val="restart"/>
            <w:tcBorders>
              <w:top w:val="single" w:color="000000" w:sz="8" w:space="0"/>
              <w:left w:val="single" w:color="000000" w:sz="8" w:space="0"/>
              <w:right w:val="single" w:color="000000" w:sz="8" w:space="0"/>
            </w:tcBorders>
            <w:tcMar>
              <w:top w:w="0" w:type="dxa"/>
              <w:left w:w="0" w:type="dxa"/>
              <w:bottom w:w="0" w:type="dxa"/>
              <w:right w:w="0" w:type="dxa"/>
            </w:tcMar>
            <w:vAlign w:val="center"/>
          </w:tcPr>
          <w:p w14:paraId="4D57E5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867" w:type="dxa"/>
            <w:gridSpan w:val="12"/>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171095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考核指标及管理指标情况</w:t>
            </w:r>
          </w:p>
        </w:tc>
      </w:tr>
      <w:tr w14:paraId="01C09C13">
        <w:tblPrEx>
          <w:tblCellMar>
            <w:top w:w="0" w:type="dxa"/>
            <w:left w:w="108" w:type="dxa"/>
            <w:bottom w:w="0" w:type="dxa"/>
            <w:right w:w="108" w:type="dxa"/>
          </w:tblCellMar>
        </w:tblPrEx>
        <w:trPr>
          <w:trHeight w:val="404" w:hRule="atLeast"/>
        </w:trPr>
        <w:tc>
          <w:tcPr>
            <w:tcW w:w="2689" w:type="dxa"/>
            <w:vMerge w:val="continue"/>
            <w:tcBorders>
              <w:left w:val="single" w:color="000000" w:sz="8" w:space="0"/>
              <w:right w:val="single" w:color="000000" w:sz="8" w:space="0"/>
            </w:tcBorders>
            <w:tcMar>
              <w:top w:w="0" w:type="dxa"/>
              <w:left w:w="0" w:type="dxa"/>
              <w:bottom w:w="0" w:type="dxa"/>
              <w:right w:w="0" w:type="dxa"/>
            </w:tcMar>
            <w:vAlign w:val="center"/>
          </w:tcPr>
          <w:p w14:paraId="1782FCD3">
            <w:pPr>
              <w:autoSpaceDE w:val="0"/>
              <w:autoSpaceDN w:val="0"/>
              <w:jc w:val="center"/>
              <w:rPr>
                <w:rFonts w:ascii="仿宋_GB2312" w:hAnsi="仿宋_GB2312" w:eastAsia="仿宋_GB2312"/>
                <w:color w:val="000000" w:themeColor="text1"/>
                <w:sz w:val="24"/>
                <w:szCs w:val="24"/>
                <w14:textFill>
                  <w14:solidFill>
                    <w14:schemeClr w14:val="tx1"/>
                  </w14:solidFill>
                </w14:textFill>
              </w:rPr>
            </w:pPr>
          </w:p>
        </w:tc>
        <w:tc>
          <w:tcPr>
            <w:tcW w:w="5871" w:type="dxa"/>
            <w:gridSpan w:val="9"/>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B8E50E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当月值</w:t>
            </w:r>
          </w:p>
        </w:tc>
        <w:tc>
          <w:tcPr>
            <w:tcW w:w="1996" w:type="dxa"/>
            <w:gridSpan w:val="3"/>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0ACFDF">
            <w:pPr>
              <w:autoSpaceDE w:val="0"/>
              <w:autoSpaceDN w:val="0"/>
              <w:jc w:val="center"/>
              <w:rPr>
                <w:rFonts w:ascii="宋体"/>
                <w:color w:val="000000" w:themeColor="text1"/>
                <w:sz w:val="24"/>
                <w:szCs w:val="24"/>
                <w14:textFill>
                  <w14:solidFill>
                    <w14:schemeClr w14:val="tx1"/>
                  </w14:solidFill>
                </w14:textFill>
              </w:rPr>
            </w:pPr>
          </w:p>
        </w:tc>
      </w:tr>
      <w:tr w14:paraId="389CB1CF">
        <w:tblPrEx>
          <w:tblCellMar>
            <w:top w:w="0" w:type="dxa"/>
            <w:left w:w="108" w:type="dxa"/>
            <w:bottom w:w="0" w:type="dxa"/>
            <w:right w:w="108" w:type="dxa"/>
          </w:tblCellMar>
        </w:tblPrEx>
        <w:trPr>
          <w:trHeight w:val="224" w:hRule="atLeast"/>
        </w:trPr>
        <w:tc>
          <w:tcPr>
            <w:tcW w:w="2689" w:type="dxa"/>
            <w:vMerge w:val="continue"/>
            <w:tcBorders>
              <w:left w:val="single" w:color="000000" w:sz="8" w:space="0"/>
              <w:bottom w:val="single" w:color="000000" w:sz="8" w:space="0"/>
              <w:right w:val="single" w:color="000000" w:sz="8" w:space="0"/>
            </w:tcBorders>
            <w:vAlign w:val="center"/>
          </w:tcPr>
          <w:p w14:paraId="73D152B4">
            <w:pPr>
              <w:widowControl/>
              <w:jc w:val="center"/>
              <w:rPr>
                <w:rFonts w:ascii="仿宋_GB2312" w:hAnsi="仿宋_GB2312" w:eastAsia="仿宋_GB2312"/>
                <w:color w:val="000000" w:themeColor="text1"/>
                <w:sz w:val="24"/>
                <w:szCs w:val="24"/>
                <w14:textFill>
                  <w14:solidFill>
                    <w14:schemeClr w14:val="tx1"/>
                  </w14:solidFill>
                </w14:textFill>
              </w:rPr>
            </w:pPr>
          </w:p>
        </w:tc>
        <w:tc>
          <w:tcPr>
            <w:tcW w:w="1018" w:type="dxa"/>
            <w:tcBorders>
              <w:top w:val="single" w:color="000000" w:sz="8" w:space="0"/>
              <w:left w:val="single" w:color="000000" w:sz="8" w:space="0"/>
              <w:bottom w:val="single" w:color="000000" w:sz="8" w:space="0"/>
              <w:right w:val="single" w:color="000000" w:sz="8" w:space="0"/>
            </w:tcBorders>
            <w:vAlign w:val="center"/>
          </w:tcPr>
          <w:p w14:paraId="66708D47">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恒益热电厂</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3F9691A2">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福能</w:t>
            </w:r>
          </w:p>
          <w:p w14:paraId="134AF880">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电厂</w:t>
            </w:r>
          </w:p>
        </w:tc>
        <w:tc>
          <w:tcPr>
            <w:tcW w:w="1084" w:type="dxa"/>
            <w:tcBorders>
              <w:top w:val="single" w:color="000000" w:sz="8" w:space="0"/>
              <w:left w:val="single" w:color="000000" w:sz="8" w:space="0"/>
              <w:bottom w:val="single" w:color="000000" w:sz="8" w:space="0"/>
              <w:right w:val="single" w:color="000000" w:sz="8" w:space="0"/>
            </w:tcBorders>
            <w:vAlign w:val="center"/>
          </w:tcPr>
          <w:p w14:paraId="7CB8BF98">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52E28031">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3091AD07">
            <w:pPr>
              <w:widowControl/>
              <w:jc w:val="center"/>
              <w:textAlignment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w:t>
            </w:r>
          </w:p>
          <w:p w14:paraId="2584797D">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公司</w:t>
            </w:r>
          </w:p>
        </w:tc>
        <w:tc>
          <w:tcPr>
            <w:tcW w:w="860" w:type="dxa"/>
            <w:tcBorders>
              <w:top w:val="single" w:color="000000" w:sz="8" w:space="0"/>
              <w:left w:val="single" w:color="auto" w:sz="4" w:space="0"/>
              <w:bottom w:val="single" w:color="000000" w:sz="8" w:space="0"/>
              <w:right w:val="single" w:color="000000" w:sz="8" w:space="0"/>
            </w:tcBorders>
            <w:vAlign w:val="center"/>
          </w:tcPr>
          <w:p w14:paraId="07892B64">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合计</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5B81A922">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上年同期总值</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592157">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2025年累计总值</w:t>
            </w:r>
          </w:p>
        </w:tc>
      </w:tr>
      <w:tr w14:paraId="584A395F">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3E635C2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召开安全会议次数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1A6DD9B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36A88D63">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w:t>
            </w:r>
          </w:p>
        </w:tc>
        <w:tc>
          <w:tcPr>
            <w:tcW w:w="1084" w:type="dxa"/>
            <w:tcBorders>
              <w:top w:val="single" w:color="000000" w:sz="8" w:space="0"/>
              <w:left w:val="single" w:color="000000" w:sz="8" w:space="0"/>
              <w:bottom w:val="single" w:color="000000" w:sz="8" w:space="0"/>
              <w:right w:val="single" w:color="000000" w:sz="8" w:space="0"/>
            </w:tcBorders>
            <w:vAlign w:val="center"/>
          </w:tcPr>
          <w:p w14:paraId="0B1A1EA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2</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8ECD245">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109B42C6">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5</w:t>
            </w:r>
          </w:p>
        </w:tc>
        <w:tc>
          <w:tcPr>
            <w:tcW w:w="860" w:type="dxa"/>
            <w:tcBorders>
              <w:top w:val="single" w:color="000000" w:sz="8" w:space="0"/>
              <w:left w:val="single" w:color="auto" w:sz="4" w:space="0"/>
              <w:bottom w:val="single" w:color="000000" w:sz="8" w:space="0"/>
              <w:right w:val="single" w:color="000000" w:sz="8" w:space="0"/>
            </w:tcBorders>
            <w:vAlign w:val="center"/>
          </w:tcPr>
          <w:p w14:paraId="64CEC96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12</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7BD97F6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65</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F05E018">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31</w:t>
            </w:r>
          </w:p>
        </w:tc>
      </w:tr>
      <w:tr w14:paraId="7DCD86BA">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62E7F1D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安全检查次数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3C70669C">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14</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BA752F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6</w:t>
            </w:r>
          </w:p>
        </w:tc>
        <w:tc>
          <w:tcPr>
            <w:tcW w:w="1084" w:type="dxa"/>
            <w:tcBorders>
              <w:top w:val="single" w:color="000000" w:sz="8" w:space="0"/>
              <w:left w:val="single" w:color="000000" w:sz="8" w:space="0"/>
              <w:bottom w:val="single" w:color="000000" w:sz="8" w:space="0"/>
              <w:right w:val="single" w:color="000000" w:sz="8" w:space="0"/>
            </w:tcBorders>
            <w:vAlign w:val="center"/>
          </w:tcPr>
          <w:p w14:paraId="1AC56B4C">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1248808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570C5425">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5</w:t>
            </w:r>
          </w:p>
        </w:tc>
        <w:tc>
          <w:tcPr>
            <w:tcW w:w="860" w:type="dxa"/>
            <w:tcBorders>
              <w:top w:val="single" w:color="000000" w:sz="8" w:space="0"/>
              <w:left w:val="single" w:color="auto" w:sz="4" w:space="0"/>
              <w:bottom w:val="single" w:color="000000" w:sz="8" w:space="0"/>
              <w:right w:val="single" w:color="000000" w:sz="8" w:space="0"/>
            </w:tcBorders>
            <w:vAlign w:val="center"/>
          </w:tcPr>
          <w:p w14:paraId="4C2D5239">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31</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264A88F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67</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7570CA9">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60</w:t>
            </w:r>
          </w:p>
        </w:tc>
      </w:tr>
      <w:tr w14:paraId="5B8C0BEB">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7EFAD3F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70AADF0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1232</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A03F2C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152</w:t>
            </w:r>
          </w:p>
        </w:tc>
        <w:tc>
          <w:tcPr>
            <w:tcW w:w="1084" w:type="dxa"/>
            <w:tcBorders>
              <w:top w:val="single" w:color="000000" w:sz="8" w:space="0"/>
              <w:left w:val="single" w:color="000000" w:sz="8" w:space="0"/>
              <w:bottom w:val="single" w:color="000000" w:sz="8" w:space="0"/>
              <w:right w:val="single" w:color="000000" w:sz="8" w:space="0"/>
            </w:tcBorders>
            <w:vAlign w:val="center"/>
          </w:tcPr>
          <w:p w14:paraId="3C996514">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100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363A5FA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44</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761F97D5">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328</w:t>
            </w:r>
          </w:p>
        </w:tc>
        <w:tc>
          <w:tcPr>
            <w:tcW w:w="860" w:type="dxa"/>
            <w:tcBorders>
              <w:top w:val="single" w:color="000000" w:sz="8" w:space="0"/>
              <w:left w:val="single" w:color="auto" w:sz="4" w:space="0"/>
              <w:bottom w:val="single" w:color="000000" w:sz="8" w:space="0"/>
              <w:right w:val="single" w:color="000000" w:sz="8" w:space="0"/>
            </w:tcBorders>
            <w:vAlign w:val="center"/>
          </w:tcPr>
          <w:p w14:paraId="228F530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1856</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380EE6C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3315</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82A458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3677</w:t>
            </w:r>
          </w:p>
        </w:tc>
      </w:tr>
      <w:tr w14:paraId="0D481A37">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55F6258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60964547">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31</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5CDA5916">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7</w:t>
            </w:r>
          </w:p>
        </w:tc>
        <w:tc>
          <w:tcPr>
            <w:tcW w:w="1084" w:type="dxa"/>
            <w:tcBorders>
              <w:top w:val="single" w:color="000000" w:sz="8" w:space="0"/>
              <w:left w:val="single" w:color="000000" w:sz="8" w:space="0"/>
              <w:bottom w:val="single" w:color="000000" w:sz="8" w:space="0"/>
              <w:right w:val="single" w:color="000000" w:sz="8" w:space="0"/>
            </w:tcBorders>
            <w:vAlign w:val="center"/>
          </w:tcPr>
          <w:p w14:paraId="7DAD7C63">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5</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DA1B5DD">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4</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3C3158F1">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6</w:t>
            </w:r>
          </w:p>
        </w:tc>
        <w:tc>
          <w:tcPr>
            <w:tcW w:w="860" w:type="dxa"/>
            <w:tcBorders>
              <w:top w:val="single" w:color="000000" w:sz="8" w:space="0"/>
              <w:left w:val="single" w:color="auto" w:sz="4" w:space="0"/>
              <w:bottom w:val="single" w:color="000000" w:sz="8" w:space="0"/>
              <w:right w:val="single" w:color="000000" w:sz="8" w:space="0"/>
            </w:tcBorders>
            <w:vAlign w:val="center"/>
          </w:tcPr>
          <w:p w14:paraId="3DA37533">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53</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2DD810FC">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83</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E3EDC1">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85</w:t>
            </w:r>
          </w:p>
        </w:tc>
      </w:tr>
      <w:tr w14:paraId="7EB36112">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577FF3C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0BB00F8F">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0FAD7FC3">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w:t>
            </w:r>
          </w:p>
        </w:tc>
        <w:tc>
          <w:tcPr>
            <w:tcW w:w="1084" w:type="dxa"/>
            <w:tcBorders>
              <w:top w:val="single" w:color="000000" w:sz="8" w:space="0"/>
              <w:left w:val="single" w:color="000000" w:sz="8" w:space="0"/>
              <w:bottom w:val="single" w:color="000000" w:sz="8" w:space="0"/>
              <w:right w:val="single" w:color="000000" w:sz="8" w:space="0"/>
            </w:tcBorders>
            <w:vAlign w:val="center"/>
          </w:tcPr>
          <w:p w14:paraId="6C8235F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5</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12DE037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3526FE6D">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32</w:t>
            </w:r>
          </w:p>
        </w:tc>
        <w:tc>
          <w:tcPr>
            <w:tcW w:w="860" w:type="dxa"/>
            <w:tcBorders>
              <w:top w:val="single" w:color="000000" w:sz="8" w:space="0"/>
              <w:left w:val="single" w:color="auto" w:sz="4" w:space="0"/>
              <w:bottom w:val="single" w:color="000000" w:sz="8" w:space="0"/>
              <w:right w:val="single" w:color="000000" w:sz="8" w:space="0"/>
            </w:tcBorders>
            <w:vAlign w:val="center"/>
          </w:tcPr>
          <w:p w14:paraId="62AB5831">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38</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353B75E8">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63</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309F42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40</w:t>
            </w:r>
          </w:p>
        </w:tc>
      </w:tr>
      <w:tr w14:paraId="760BED5C">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1806DD3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7A486DF6">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4CDFE3C">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1</w:t>
            </w:r>
          </w:p>
        </w:tc>
        <w:tc>
          <w:tcPr>
            <w:tcW w:w="1084" w:type="dxa"/>
            <w:tcBorders>
              <w:top w:val="single" w:color="000000" w:sz="8" w:space="0"/>
              <w:left w:val="single" w:color="000000" w:sz="8" w:space="0"/>
              <w:bottom w:val="single" w:color="000000" w:sz="8" w:space="0"/>
              <w:right w:val="single" w:color="000000" w:sz="8" w:space="0"/>
            </w:tcBorders>
            <w:vAlign w:val="center"/>
          </w:tcPr>
          <w:p w14:paraId="7DC77CBB">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2</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2E411D4">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26755D5B">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18</w:t>
            </w:r>
          </w:p>
        </w:tc>
        <w:tc>
          <w:tcPr>
            <w:tcW w:w="860" w:type="dxa"/>
            <w:tcBorders>
              <w:top w:val="single" w:color="000000" w:sz="8" w:space="0"/>
              <w:left w:val="single" w:color="auto" w:sz="4" w:space="0"/>
              <w:bottom w:val="single" w:color="000000" w:sz="8" w:space="0"/>
              <w:right w:val="single" w:color="000000" w:sz="8" w:space="0"/>
            </w:tcBorders>
            <w:vAlign w:val="center"/>
          </w:tcPr>
          <w:p w14:paraId="0861A8AD">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21</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6ECEBDF5">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31</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B484C21">
            <w:pPr>
              <w:widowControl/>
              <w:jc w:val="center"/>
              <w:textAlignment w:val="center"/>
              <w:rPr>
                <w:rFonts w:ascii="仿宋_GB2312" w:eastAsia="仿宋_GB2312" w:cs="仿宋_GB2312"/>
                <w:color w:val="0000FF"/>
                <w:sz w:val="24"/>
                <w:szCs w:val="24"/>
                <w:lang w:bidi="ar"/>
              </w:rPr>
            </w:pPr>
            <w:r>
              <w:rPr>
                <w:rFonts w:hint="eastAsia" w:ascii="仿宋_GB2312" w:eastAsia="仿宋_GB2312" w:cs="仿宋_GB2312"/>
                <w:color w:val="000000"/>
                <w:sz w:val="22"/>
                <w:szCs w:val="22"/>
                <w:lang w:bidi="ar"/>
              </w:rPr>
              <w:t>23</w:t>
            </w:r>
          </w:p>
        </w:tc>
      </w:tr>
      <w:tr w14:paraId="00D3FA48">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7A5B2289">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下达整改项数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2634C27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51</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06537B9E">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w:t>
            </w:r>
          </w:p>
        </w:tc>
        <w:tc>
          <w:tcPr>
            <w:tcW w:w="1084" w:type="dxa"/>
            <w:tcBorders>
              <w:top w:val="single" w:color="000000" w:sz="8" w:space="0"/>
              <w:left w:val="single" w:color="000000" w:sz="8" w:space="0"/>
              <w:bottom w:val="single" w:color="000000" w:sz="8" w:space="0"/>
              <w:right w:val="single" w:color="000000" w:sz="8" w:space="0"/>
            </w:tcBorders>
            <w:vAlign w:val="center"/>
          </w:tcPr>
          <w:p w14:paraId="7EFD7200">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13</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391CC1A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4</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608C21BE">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22</w:t>
            </w:r>
          </w:p>
        </w:tc>
        <w:tc>
          <w:tcPr>
            <w:tcW w:w="860" w:type="dxa"/>
            <w:tcBorders>
              <w:top w:val="single" w:color="000000" w:sz="8" w:space="0"/>
              <w:left w:val="single" w:color="auto" w:sz="4" w:space="0"/>
              <w:bottom w:val="single" w:color="000000" w:sz="8" w:space="0"/>
              <w:right w:val="single" w:color="000000" w:sz="8" w:space="0"/>
            </w:tcBorders>
            <w:vAlign w:val="center"/>
          </w:tcPr>
          <w:p w14:paraId="412CFD5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91</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116F09F5">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205</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4A83F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167</w:t>
            </w:r>
          </w:p>
        </w:tc>
      </w:tr>
      <w:tr w14:paraId="666A945C">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2D89B70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未完成整改项数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127F4A86">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FA13819">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12FE0ED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1D0D7404">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6FECAF99">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6D2E126E">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7075629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A21052F">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r>
      <w:tr w14:paraId="6BCF9220">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5D94519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下达处罚通知单</w:t>
            </w:r>
          </w:p>
        </w:tc>
        <w:tc>
          <w:tcPr>
            <w:tcW w:w="1018" w:type="dxa"/>
            <w:tcBorders>
              <w:top w:val="single" w:color="000000" w:sz="8" w:space="0"/>
              <w:left w:val="single" w:color="000000" w:sz="8" w:space="0"/>
              <w:bottom w:val="single" w:color="000000" w:sz="8" w:space="0"/>
              <w:right w:val="single" w:color="000000" w:sz="8" w:space="0"/>
            </w:tcBorders>
            <w:vAlign w:val="center"/>
          </w:tcPr>
          <w:p w14:paraId="61A754B5">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6612589D">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527093E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5F64529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233C0456">
            <w:pPr>
              <w:widowControl/>
              <w:jc w:val="center"/>
              <w:textAlignment w:val="center"/>
              <w:rPr>
                <w:rFonts w:ascii="仿宋_GB2312" w:hAnsi="仿宋_GB2312" w:eastAsia="仿宋_GB2312" w:cs="仿宋_GB2312"/>
                <w:color w:val="0000FF"/>
                <w:sz w:val="24"/>
                <w:szCs w:val="24"/>
                <w:lang w:bidi="ar"/>
              </w:rPr>
            </w:pPr>
            <w:r>
              <w:rPr>
                <w:rFonts w:hint="eastAsia" w:ascii="仿宋_GB2312" w:eastAsia="仿宋_GB2312" w:cs="仿宋_GB2312"/>
                <w:color w:val="000000"/>
                <w:sz w:val="22"/>
                <w:szCs w:val="22"/>
                <w:lang w:bidi="ar"/>
              </w:rPr>
              <w:t>2</w:t>
            </w:r>
          </w:p>
        </w:tc>
        <w:tc>
          <w:tcPr>
            <w:tcW w:w="860" w:type="dxa"/>
            <w:tcBorders>
              <w:top w:val="single" w:color="000000" w:sz="8" w:space="0"/>
              <w:left w:val="single" w:color="auto" w:sz="4" w:space="0"/>
              <w:bottom w:val="single" w:color="000000" w:sz="8" w:space="0"/>
              <w:right w:val="single" w:color="000000" w:sz="8" w:space="0"/>
            </w:tcBorders>
            <w:vAlign w:val="center"/>
          </w:tcPr>
          <w:p w14:paraId="64BC5F07">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2</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534E2EB2">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24</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044333A">
            <w:pPr>
              <w:widowControl/>
              <w:jc w:val="center"/>
              <w:textAlignment w:val="center"/>
              <w:rPr>
                <w:rFonts w:ascii="仿宋_GB2312" w:hAnsi="仿宋_GB2312" w:eastAsia="仿宋_GB2312" w:cs="仿宋_GB2312"/>
                <w:color w:val="0000FF"/>
                <w:sz w:val="24"/>
                <w:szCs w:val="24"/>
              </w:rPr>
            </w:pPr>
            <w:r>
              <w:rPr>
                <w:rFonts w:hint="eastAsia" w:ascii="仿宋_GB2312" w:eastAsia="仿宋_GB2312" w:cs="仿宋_GB2312"/>
                <w:color w:val="000000"/>
                <w:sz w:val="22"/>
                <w:szCs w:val="22"/>
                <w:lang w:bidi="ar"/>
              </w:rPr>
              <w:t>17</w:t>
            </w:r>
          </w:p>
        </w:tc>
      </w:tr>
      <w:tr w14:paraId="0BDF091A">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75B7B14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未按规定办理三票人次</w:t>
            </w:r>
          </w:p>
        </w:tc>
        <w:tc>
          <w:tcPr>
            <w:tcW w:w="1018" w:type="dxa"/>
            <w:tcBorders>
              <w:top w:val="single" w:color="000000" w:sz="8" w:space="0"/>
              <w:left w:val="single" w:color="000000" w:sz="8" w:space="0"/>
              <w:bottom w:val="single" w:color="000000" w:sz="8" w:space="0"/>
              <w:right w:val="single" w:color="000000" w:sz="8" w:space="0"/>
            </w:tcBorders>
            <w:vAlign w:val="center"/>
          </w:tcPr>
          <w:p w14:paraId="2751EC2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7FD4908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47CA85B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E99AC1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14EF95B9">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5452614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6A618B6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0996B7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r>
      <w:tr w14:paraId="6BD18E22">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7FD7E41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43EE96B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52604A0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2831E1A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C0C68F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39956E16">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2</w:t>
            </w:r>
          </w:p>
        </w:tc>
        <w:tc>
          <w:tcPr>
            <w:tcW w:w="860" w:type="dxa"/>
            <w:tcBorders>
              <w:top w:val="single" w:color="000000" w:sz="8" w:space="0"/>
              <w:left w:val="single" w:color="auto" w:sz="4" w:space="0"/>
              <w:bottom w:val="single" w:color="000000" w:sz="8" w:space="0"/>
              <w:right w:val="single" w:color="000000" w:sz="8" w:space="0"/>
            </w:tcBorders>
            <w:vAlign w:val="center"/>
          </w:tcPr>
          <w:p w14:paraId="7BBCFFD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3</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4FFE67A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13</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5B73B3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18</w:t>
            </w:r>
          </w:p>
        </w:tc>
      </w:tr>
      <w:tr w14:paraId="67E88425">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6019FB3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7C01EC5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BEA8DC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6E39649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4B3ECFD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10666D5C">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1</w:t>
            </w:r>
          </w:p>
        </w:tc>
        <w:tc>
          <w:tcPr>
            <w:tcW w:w="860" w:type="dxa"/>
            <w:tcBorders>
              <w:top w:val="single" w:color="000000" w:sz="8" w:space="0"/>
              <w:left w:val="single" w:color="auto" w:sz="4" w:space="0"/>
              <w:bottom w:val="single" w:color="000000" w:sz="8" w:space="0"/>
              <w:right w:val="single" w:color="000000" w:sz="8" w:space="0"/>
            </w:tcBorders>
            <w:vAlign w:val="center"/>
          </w:tcPr>
          <w:p w14:paraId="1B1877E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2</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7EE89A7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9</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AC1A33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7</w:t>
            </w:r>
          </w:p>
        </w:tc>
      </w:tr>
      <w:tr w14:paraId="2D231DA1">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3EC8914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开展专项工作项数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26E74BA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6</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7D79709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4</w:t>
            </w:r>
          </w:p>
        </w:tc>
        <w:tc>
          <w:tcPr>
            <w:tcW w:w="1084" w:type="dxa"/>
            <w:tcBorders>
              <w:top w:val="single" w:color="000000" w:sz="8" w:space="0"/>
              <w:left w:val="single" w:color="000000" w:sz="8" w:space="0"/>
              <w:bottom w:val="single" w:color="000000" w:sz="8" w:space="0"/>
              <w:right w:val="single" w:color="000000" w:sz="8" w:space="0"/>
            </w:tcBorders>
            <w:vAlign w:val="center"/>
          </w:tcPr>
          <w:p w14:paraId="39102EE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2</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7E73270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3</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63323F7B">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4</w:t>
            </w:r>
          </w:p>
        </w:tc>
        <w:tc>
          <w:tcPr>
            <w:tcW w:w="860" w:type="dxa"/>
            <w:tcBorders>
              <w:top w:val="single" w:color="000000" w:sz="8" w:space="0"/>
              <w:left w:val="single" w:color="auto" w:sz="4" w:space="0"/>
              <w:bottom w:val="single" w:color="000000" w:sz="8" w:space="0"/>
              <w:right w:val="single" w:color="000000" w:sz="8" w:space="0"/>
            </w:tcBorders>
            <w:vAlign w:val="center"/>
          </w:tcPr>
          <w:p w14:paraId="4EA5C73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19</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1AA27F6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34</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030D7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47</w:t>
            </w:r>
          </w:p>
        </w:tc>
      </w:tr>
      <w:tr w14:paraId="6F6B255B">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4E92BAB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特种设备资料审核项数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114C852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68</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6912D8D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480A324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43754CA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7A848F59">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8</w:t>
            </w:r>
          </w:p>
        </w:tc>
        <w:tc>
          <w:tcPr>
            <w:tcW w:w="860" w:type="dxa"/>
            <w:tcBorders>
              <w:top w:val="single" w:color="000000" w:sz="8" w:space="0"/>
              <w:left w:val="single" w:color="auto" w:sz="4" w:space="0"/>
              <w:bottom w:val="single" w:color="000000" w:sz="8" w:space="0"/>
              <w:right w:val="single" w:color="000000" w:sz="8" w:space="0"/>
            </w:tcBorders>
            <w:vAlign w:val="center"/>
          </w:tcPr>
          <w:p w14:paraId="54FA5AE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76</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319332C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93</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5E157A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117</w:t>
            </w:r>
          </w:p>
        </w:tc>
      </w:tr>
      <w:tr w14:paraId="177FCB09">
        <w:tblPrEx>
          <w:tblCellMar>
            <w:top w:w="0" w:type="dxa"/>
            <w:left w:w="108" w:type="dxa"/>
            <w:bottom w:w="0" w:type="dxa"/>
            <w:right w:w="108" w:type="dxa"/>
          </w:tblCellMar>
        </w:tblPrEx>
        <w:trPr>
          <w:trHeight w:val="578"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7FDDD7A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1F7F15A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5C6DD6A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1BC29E8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6608BDD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598FC6EA">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6DEE01C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045C552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273</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ADD6A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r>
      <w:tr w14:paraId="21AB3B40">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3647DA2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5A6DB17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5ACF20F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021A66C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29C5C49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050D373C">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1A0C188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58E04AC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7</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123C8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r>
      <w:tr w14:paraId="6A2241DB">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24602F4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077A2E5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16</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4E33436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36</w:t>
            </w:r>
          </w:p>
        </w:tc>
        <w:tc>
          <w:tcPr>
            <w:tcW w:w="1084" w:type="dxa"/>
            <w:tcBorders>
              <w:top w:val="single" w:color="000000" w:sz="8" w:space="0"/>
              <w:left w:val="single" w:color="000000" w:sz="8" w:space="0"/>
              <w:bottom w:val="single" w:color="000000" w:sz="8" w:space="0"/>
              <w:right w:val="single" w:color="000000" w:sz="8" w:space="0"/>
            </w:tcBorders>
            <w:vAlign w:val="center"/>
          </w:tcPr>
          <w:p w14:paraId="43D1C79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538CA0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18E608B4">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6CB89E3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52</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2B2B256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55</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A0B34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102</w:t>
            </w:r>
          </w:p>
        </w:tc>
      </w:tr>
      <w:tr w14:paraId="059087DB">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28D5CCB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06B2BE0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72DFCEC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5</w:t>
            </w:r>
          </w:p>
        </w:tc>
        <w:tc>
          <w:tcPr>
            <w:tcW w:w="1084" w:type="dxa"/>
            <w:tcBorders>
              <w:top w:val="single" w:color="000000" w:sz="8" w:space="0"/>
              <w:left w:val="single" w:color="000000" w:sz="8" w:space="0"/>
              <w:bottom w:val="single" w:color="000000" w:sz="8" w:space="0"/>
              <w:right w:val="single" w:color="000000" w:sz="8" w:space="0"/>
            </w:tcBorders>
            <w:vAlign w:val="center"/>
          </w:tcPr>
          <w:p w14:paraId="3D68730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5E8FDC4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7310DD46">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0B6314A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6</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12B2F3E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6</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9B98AF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12</w:t>
            </w:r>
          </w:p>
        </w:tc>
      </w:tr>
      <w:tr w14:paraId="006EFF3B">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45F5EF1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75E03BA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16</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417BAA1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3D839D2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0A14DB1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2D7C81AD">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174</w:t>
            </w:r>
          </w:p>
        </w:tc>
        <w:tc>
          <w:tcPr>
            <w:tcW w:w="860" w:type="dxa"/>
            <w:tcBorders>
              <w:top w:val="single" w:color="000000" w:sz="8" w:space="0"/>
              <w:left w:val="single" w:color="auto" w:sz="4" w:space="0"/>
              <w:bottom w:val="single" w:color="000000" w:sz="8" w:space="0"/>
              <w:right w:val="single" w:color="000000" w:sz="8" w:space="0"/>
            </w:tcBorders>
            <w:vAlign w:val="center"/>
          </w:tcPr>
          <w:p w14:paraId="751D3E8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190</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17F9746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102</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E5328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204</w:t>
            </w:r>
          </w:p>
        </w:tc>
      </w:tr>
      <w:tr w14:paraId="475BC146">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4F0A6E2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202D949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6529E86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84" w:type="dxa"/>
            <w:tcBorders>
              <w:top w:val="single" w:color="000000" w:sz="8" w:space="0"/>
              <w:left w:val="single" w:color="000000" w:sz="8" w:space="0"/>
              <w:bottom w:val="single" w:color="000000" w:sz="8" w:space="0"/>
              <w:right w:val="single" w:color="000000" w:sz="8" w:space="0"/>
            </w:tcBorders>
            <w:vAlign w:val="center"/>
          </w:tcPr>
          <w:p w14:paraId="52E400D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4FABD00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718A0037">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2</w:t>
            </w:r>
          </w:p>
        </w:tc>
        <w:tc>
          <w:tcPr>
            <w:tcW w:w="860" w:type="dxa"/>
            <w:tcBorders>
              <w:top w:val="single" w:color="000000" w:sz="8" w:space="0"/>
              <w:left w:val="single" w:color="auto" w:sz="4" w:space="0"/>
              <w:bottom w:val="single" w:color="000000" w:sz="8" w:space="0"/>
              <w:right w:val="single" w:color="000000" w:sz="8" w:space="0"/>
            </w:tcBorders>
            <w:vAlign w:val="center"/>
          </w:tcPr>
          <w:p w14:paraId="10AE23DB">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3</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0DBE026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12</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6C5EA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4</w:t>
            </w:r>
          </w:p>
        </w:tc>
      </w:tr>
      <w:tr w14:paraId="04216283">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5AC6761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消防训练人数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55E6AE8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278</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8E2F95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15</w:t>
            </w:r>
          </w:p>
        </w:tc>
        <w:tc>
          <w:tcPr>
            <w:tcW w:w="1084" w:type="dxa"/>
            <w:tcBorders>
              <w:top w:val="single" w:color="000000" w:sz="8" w:space="0"/>
              <w:left w:val="single" w:color="000000" w:sz="8" w:space="0"/>
              <w:bottom w:val="single" w:color="000000" w:sz="8" w:space="0"/>
              <w:right w:val="single" w:color="000000" w:sz="8" w:space="0"/>
            </w:tcBorders>
            <w:vAlign w:val="center"/>
          </w:tcPr>
          <w:p w14:paraId="183BBAA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4BCC621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65FC1727">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5100D3C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293</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0604A8B9">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405</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124C9E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562</w:t>
            </w:r>
          </w:p>
        </w:tc>
      </w:tr>
      <w:tr w14:paraId="6E8ABC1C">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000000" w:sz="8" w:space="0"/>
            </w:tcBorders>
            <w:vAlign w:val="center"/>
          </w:tcPr>
          <w:p w14:paraId="2BBCBFF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消防训练次数</w:t>
            </w:r>
          </w:p>
        </w:tc>
        <w:tc>
          <w:tcPr>
            <w:tcW w:w="1018" w:type="dxa"/>
            <w:tcBorders>
              <w:top w:val="single" w:color="000000" w:sz="8" w:space="0"/>
              <w:left w:val="single" w:color="000000" w:sz="8" w:space="0"/>
              <w:bottom w:val="single" w:color="000000" w:sz="8" w:space="0"/>
              <w:right w:val="single" w:color="000000" w:sz="8" w:space="0"/>
            </w:tcBorders>
            <w:vAlign w:val="center"/>
          </w:tcPr>
          <w:p w14:paraId="5D25ECC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38</w:t>
            </w:r>
          </w:p>
        </w:tc>
        <w:tc>
          <w:tcPr>
            <w:tcW w:w="972" w:type="dxa"/>
            <w:gridSpan w:val="2"/>
            <w:tcBorders>
              <w:top w:val="single" w:color="000000" w:sz="8" w:space="0"/>
              <w:left w:val="single" w:color="000000" w:sz="8" w:space="0"/>
              <w:bottom w:val="single" w:color="000000" w:sz="8" w:space="0"/>
              <w:right w:val="single" w:color="000000" w:sz="8" w:space="0"/>
            </w:tcBorders>
            <w:vAlign w:val="center"/>
          </w:tcPr>
          <w:p w14:paraId="1CB25514">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5</w:t>
            </w:r>
          </w:p>
        </w:tc>
        <w:tc>
          <w:tcPr>
            <w:tcW w:w="1084" w:type="dxa"/>
            <w:tcBorders>
              <w:top w:val="single" w:color="000000" w:sz="8" w:space="0"/>
              <w:left w:val="single" w:color="000000" w:sz="8" w:space="0"/>
              <w:bottom w:val="single" w:color="000000" w:sz="8" w:space="0"/>
              <w:right w:val="single" w:color="000000" w:sz="8" w:space="0"/>
            </w:tcBorders>
            <w:vAlign w:val="center"/>
          </w:tcPr>
          <w:p w14:paraId="0D4CA251">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1011" w:type="dxa"/>
            <w:gridSpan w:val="2"/>
            <w:tcBorders>
              <w:top w:val="single" w:color="000000" w:sz="8" w:space="0"/>
              <w:left w:val="single" w:color="000000" w:sz="8" w:space="0"/>
              <w:bottom w:val="single" w:color="000000" w:sz="8" w:space="0"/>
              <w:right w:val="single" w:color="auto" w:sz="4" w:space="0"/>
            </w:tcBorders>
            <w:vAlign w:val="center"/>
          </w:tcPr>
          <w:p w14:paraId="36D6151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0</w:t>
            </w:r>
          </w:p>
        </w:tc>
        <w:tc>
          <w:tcPr>
            <w:tcW w:w="926" w:type="dxa"/>
            <w:gridSpan w:val="2"/>
            <w:tcBorders>
              <w:top w:val="single" w:color="000000" w:sz="8" w:space="0"/>
              <w:left w:val="single" w:color="auto" w:sz="4" w:space="0"/>
              <w:bottom w:val="single" w:color="000000" w:sz="8" w:space="0"/>
              <w:right w:val="single" w:color="auto" w:sz="4" w:space="0"/>
            </w:tcBorders>
            <w:vAlign w:val="center"/>
          </w:tcPr>
          <w:p w14:paraId="1B7D338B">
            <w:pPr>
              <w:widowControl/>
              <w:jc w:val="center"/>
              <w:textAlignment w:val="center"/>
              <w:rPr>
                <w:rFonts w:ascii="仿宋_GB2312" w:hAns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sz w:val="22"/>
                <w:szCs w:val="22"/>
                <w:lang w:bidi="ar"/>
              </w:rPr>
              <w:t>0</w:t>
            </w:r>
          </w:p>
        </w:tc>
        <w:tc>
          <w:tcPr>
            <w:tcW w:w="860" w:type="dxa"/>
            <w:tcBorders>
              <w:top w:val="single" w:color="000000" w:sz="8" w:space="0"/>
              <w:left w:val="single" w:color="auto" w:sz="4" w:space="0"/>
              <w:bottom w:val="single" w:color="000000" w:sz="8" w:space="0"/>
              <w:right w:val="single" w:color="000000" w:sz="8" w:space="0"/>
            </w:tcBorders>
            <w:vAlign w:val="center"/>
          </w:tcPr>
          <w:p w14:paraId="23C971C3">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43</w:t>
            </w:r>
          </w:p>
        </w:tc>
        <w:tc>
          <w:tcPr>
            <w:tcW w:w="986" w:type="dxa"/>
            <w:gridSpan w:val="2"/>
            <w:tcBorders>
              <w:top w:val="single" w:color="000000" w:sz="8" w:space="0"/>
              <w:left w:val="single" w:color="000000" w:sz="8" w:space="0"/>
              <w:bottom w:val="single" w:color="000000" w:sz="8" w:space="0"/>
              <w:right w:val="single" w:color="000000" w:sz="8" w:space="0"/>
            </w:tcBorders>
            <w:vAlign w:val="center"/>
          </w:tcPr>
          <w:p w14:paraId="7D66D39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59</w:t>
            </w:r>
          </w:p>
        </w:tc>
        <w:tc>
          <w:tcPr>
            <w:tcW w:w="10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BB2F4E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2"/>
                <w:szCs w:val="22"/>
                <w:lang w:bidi="ar"/>
              </w:rPr>
              <w:t>81</w:t>
            </w:r>
          </w:p>
        </w:tc>
      </w:tr>
      <w:tr w14:paraId="25FEF134">
        <w:tblPrEx>
          <w:tblCellMar>
            <w:top w:w="0" w:type="dxa"/>
            <w:left w:w="108" w:type="dxa"/>
            <w:bottom w:w="0" w:type="dxa"/>
            <w:right w:w="108" w:type="dxa"/>
          </w:tblCellMar>
        </w:tblPrEx>
        <w:trPr>
          <w:trHeight w:val="494" w:hRule="atLeast"/>
        </w:trPr>
        <w:tc>
          <w:tcPr>
            <w:tcW w:w="2689" w:type="dxa"/>
            <w:vMerge w:val="restart"/>
            <w:tcBorders>
              <w:top w:val="single" w:color="000000"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49F13F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867" w:type="dxa"/>
            <w:gridSpan w:val="12"/>
            <w:tcBorders>
              <w:top w:val="single" w:color="000000" w:sz="4" w:space="0"/>
              <w:left w:val="single" w:color="auto" w:sz="4" w:space="0"/>
              <w:bottom w:val="single" w:color="000000" w:sz="8" w:space="0"/>
              <w:right w:val="single" w:color="000000" w:sz="8" w:space="0"/>
            </w:tcBorders>
            <w:tcMar>
              <w:top w:w="0" w:type="dxa"/>
              <w:left w:w="0" w:type="dxa"/>
              <w:bottom w:w="0" w:type="dxa"/>
              <w:right w:w="0" w:type="dxa"/>
            </w:tcMar>
            <w:vAlign w:val="center"/>
          </w:tcPr>
          <w:p w14:paraId="183814C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安全生产管理情况</w:t>
            </w:r>
          </w:p>
        </w:tc>
      </w:tr>
      <w:tr w14:paraId="330AB5C7">
        <w:tblPrEx>
          <w:tblCellMar>
            <w:top w:w="0" w:type="dxa"/>
            <w:left w:w="108" w:type="dxa"/>
            <w:bottom w:w="0" w:type="dxa"/>
            <w:right w:w="108" w:type="dxa"/>
          </w:tblCellMar>
        </w:tblPrEx>
        <w:trPr>
          <w:trHeight w:val="494" w:hRule="atLeast"/>
        </w:trPr>
        <w:tc>
          <w:tcPr>
            <w:tcW w:w="2689" w:type="dxa"/>
            <w:vMerge w:val="continue"/>
            <w:tcBorders>
              <w:top w:val="single" w:color="000000" w:sz="4" w:space="0"/>
              <w:left w:val="single" w:color="000000" w:sz="8" w:space="0"/>
              <w:bottom w:val="single" w:color="000000" w:sz="8" w:space="0"/>
              <w:right w:val="single" w:color="auto" w:sz="4" w:space="0"/>
            </w:tcBorders>
            <w:vAlign w:val="center"/>
          </w:tcPr>
          <w:p w14:paraId="32544814">
            <w:pPr>
              <w:widowControl/>
              <w:jc w:val="center"/>
              <w:rPr>
                <w:rFonts w:ascii="仿宋_GB2312" w:hAnsi="仿宋_GB2312" w:eastAsia="仿宋_GB2312"/>
                <w:color w:val="000000" w:themeColor="text1"/>
                <w:sz w:val="24"/>
                <w:szCs w:val="24"/>
                <w14:textFill>
                  <w14:solidFill>
                    <w14:schemeClr w14:val="tx1"/>
                  </w14:solidFill>
                </w14:textFill>
              </w:rPr>
            </w:pPr>
          </w:p>
        </w:tc>
        <w:tc>
          <w:tcPr>
            <w:tcW w:w="1585" w:type="dxa"/>
            <w:gridSpan w:val="2"/>
            <w:tcBorders>
              <w:top w:val="single" w:color="auto" w:sz="4" w:space="0"/>
              <w:left w:val="single" w:color="auto" w:sz="4" w:space="0"/>
              <w:bottom w:val="single" w:color="000000" w:sz="8" w:space="0"/>
              <w:right w:val="single" w:color="000000" w:sz="8" w:space="0"/>
            </w:tcBorders>
            <w:vAlign w:val="center"/>
          </w:tcPr>
          <w:p w14:paraId="793C6E4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恒益热电厂</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2DDFF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福能电厂</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EB2A05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环保建材</w:t>
            </w:r>
            <w:r>
              <w:rPr>
                <w:rFonts w:hint="eastAsia" w:ascii="仿宋_GB2312" w:eastAsia="仿宋_GB2312" w:cs="仿宋_GB2312"/>
                <w:color w:val="000000" w:themeColor="text1"/>
                <w:sz w:val="24"/>
                <w:szCs w:val="24"/>
                <w:lang w:bidi="ar"/>
                <w14:textFill>
                  <w14:solidFill>
                    <w14:schemeClr w14:val="tx1"/>
                  </w14:solidFill>
                </w14:textFill>
              </w:rPr>
              <w:t>公司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2D377E5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高顿泰公司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4093A55D">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粤构公司</w:t>
            </w:r>
          </w:p>
        </w:tc>
      </w:tr>
      <w:tr w14:paraId="73D33EFC">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0E6FCD7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脚手架施工管理</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17F2FE1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F6A0A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BEFD91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553975F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106D57A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8A0CC67">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6A5E7BA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建筑机械施工管理</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45B3C51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2D06F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677F70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41066B6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4BE3C86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2F120CEA">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726D961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施工车辆管理</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05A42F7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2B10B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61B481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5495754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227D812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09ECEBF4">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6D1E4E3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安全工器具管理</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520CF66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12D99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ABDA2B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749DB6E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625414C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6AD3D9F8">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7C20E10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危险品的管理与使用</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4A03009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C5DFE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EBF91B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203AC1E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276699B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0EA1895F">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7BD9949C">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消防器材配备</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0DB317F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9305F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73675D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4E11E3D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4B4D76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005FDD2">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7E558C1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消防设备设施维护使用</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243200B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F5027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A3D3DE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5013F5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671B183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7E34F9F4">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5B3F4FF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贮油设施</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62E1310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253233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FBACC1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5D17632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3E9190E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14CDD71B">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6743FBA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氧气、乙炔存放与使用</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0C046FD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77BAFE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E9BD0C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6FF85A6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7787E2C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2111AA9">
        <w:tblPrEx>
          <w:tblCellMar>
            <w:top w:w="0" w:type="dxa"/>
            <w:left w:w="108" w:type="dxa"/>
            <w:bottom w:w="0" w:type="dxa"/>
            <w:right w:w="108" w:type="dxa"/>
          </w:tblCellMar>
        </w:tblPrEx>
        <w:trPr>
          <w:trHeight w:val="494" w:hRule="atLeast"/>
        </w:trPr>
        <w:tc>
          <w:tcPr>
            <w:tcW w:w="2689" w:type="dxa"/>
            <w:tcBorders>
              <w:top w:val="single" w:color="000000" w:sz="8" w:space="0"/>
              <w:left w:val="single" w:color="000000" w:sz="8" w:space="0"/>
              <w:bottom w:val="single" w:color="000000" w:sz="8" w:space="0"/>
              <w:right w:val="single" w:color="auto" w:sz="4" w:space="0"/>
            </w:tcBorders>
            <w:vAlign w:val="center"/>
          </w:tcPr>
          <w:p w14:paraId="13267279">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应急物资配备与管理</w:t>
            </w:r>
          </w:p>
        </w:tc>
        <w:tc>
          <w:tcPr>
            <w:tcW w:w="1585" w:type="dxa"/>
            <w:gridSpan w:val="2"/>
            <w:tcBorders>
              <w:top w:val="single" w:color="000000" w:sz="8" w:space="0"/>
              <w:left w:val="single" w:color="auto" w:sz="4" w:space="0"/>
              <w:bottom w:val="single" w:color="000000" w:sz="8" w:space="0"/>
              <w:right w:val="single" w:color="000000" w:sz="8" w:space="0"/>
            </w:tcBorders>
            <w:tcMar>
              <w:top w:w="0" w:type="dxa"/>
              <w:left w:w="0" w:type="dxa"/>
              <w:bottom w:w="0" w:type="dxa"/>
              <w:right w:w="0" w:type="dxa"/>
            </w:tcMar>
            <w:vAlign w:val="center"/>
          </w:tcPr>
          <w:p w14:paraId="1B08EBD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89" w:type="dxa"/>
            <w:gridSpan w:val="3"/>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61F65B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2"/>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E903E8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93" w:type="dxa"/>
            <w:gridSpan w:val="3"/>
            <w:tcBorders>
              <w:top w:val="single" w:color="000000" w:sz="8" w:space="0"/>
              <w:left w:val="single" w:color="auto" w:sz="4" w:space="0"/>
              <w:bottom w:val="single" w:color="000000" w:sz="8" w:space="0"/>
              <w:right w:val="single" w:color="auto" w:sz="4" w:space="0"/>
            </w:tcBorders>
            <w:vAlign w:val="center"/>
          </w:tcPr>
          <w:p w14:paraId="46B8064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507" w:type="dxa"/>
            <w:gridSpan w:val="2"/>
            <w:tcBorders>
              <w:top w:val="single" w:color="000000" w:sz="8" w:space="0"/>
              <w:left w:val="single" w:color="auto" w:sz="4" w:space="0"/>
              <w:bottom w:val="single" w:color="000000" w:sz="8" w:space="0"/>
              <w:right w:val="single" w:color="auto" w:sz="4" w:space="0"/>
            </w:tcBorders>
            <w:vAlign w:val="center"/>
          </w:tcPr>
          <w:p w14:paraId="2707A521">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bl>
    <w:p w14:paraId="2D6D0BEC">
      <w:pPr>
        <w:spacing w:line="360" w:lineRule="auto"/>
        <w:ind w:firstLine="640" w:firstLineChars="200"/>
        <w:rPr>
          <w:rFonts w:ascii="黑体" w:hAnsi="黑体" w:eastAsia="黑体"/>
          <w:color w:val="FF0000"/>
          <w:sz w:val="32"/>
          <w:szCs w:val="32"/>
        </w:rPr>
      </w:pPr>
    </w:p>
    <w:p w14:paraId="2957F831">
      <w:pPr>
        <w:pStyle w:val="2"/>
        <w:rPr>
          <w:rFonts w:ascii="黑体" w:hAnsi="黑体" w:eastAsia="黑体"/>
          <w:color w:val="FF0000"/>
          <w:sz w:val="32"/>
          <w:szCs w:val="32"/>
        </w:rPr>
      </w:pPr>
    </w:p>
    <w:p w14:paraId="20D8BB3F">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二、2月份安全情况</w:t>
      </w:r>
    </w:p>
    <w:p w14:paraId="34EE884C">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bookmarkStart w:id="4" w:name="_GoBack"/>
      <w:bookmarkEnd w:id="4"/>
      <w:r>
        <w:rPr>
          <w:rFonts w:hint="eastAsia" w:ascii="仿宋_GB2312" w:hAnsi="仿宋_GB2312" w:eastAsia="仿宋_GB2312" w:cs="仿宋_GB2312"/>
          <w:color w:val="000000"/>
          <w:sz w:val="32"/>
          <w:szCs w:val="32"/>
        </w:rPr>
        <w:t>为防止安全事故的发生，</w:t>
      </w:r>
      <w:r>
        <w:rPr>
          <w:rFonts w:hint="eastAsia" w:ascii="仿宋_GB2312" w:hAnsi="仿宋" w:eastAsia="仿宋_GB2312"/>
          <w:color w:val="000000" w:themeColor="text1"/>
          <w:sz w:val="32"/>
          <w:szCs w:val="32"/>
          <w14:textFill>
            <w14:solidFill>
              <w14:schemeClr w14:val="tx1"/>
            </w14:solidFill>
          </w14:textFill>
        </w:rPr>
        <w:t>电建集团安委办组织</w:t>
      </w:r>
      <w:r>
        <w:rPr>
          <w:rFonts w:hint="eastAsia" w:ascii="仿宋_GB2312" w:hAnsi="Times New Roman" w:eastAsia="仿宋_GB2312"/>
          <w:color w:val="000000" w:themeColor="text1"/>
          <w:sz w:val="32"/>
          <w:szCs w:val="32"/>
          <w14:textFill>
            <w14:solidFill>
              <w14:schemeClr w14:val="tx1"/>
            </w14:solidFill>
          </w14:textFill>
        </w:rPr>
        <w:t>下属各企业开展节后复工复产“六个一”专项检查以及开展混合所有制企业安全生产责任专项检查</w:t>
      </w:r>
      <w:r>
        <w:rPr>
          <w:rFonts w:hint="eastAsia" w:ascii="仿宋_GB2312" w:hAnsi="仿宋_GB2312" w:eastAsia="仿宋_GB2312" w:cs="仿宋_GB2312"/>
          <w:color w:val="000000"/>
          <w:sz w:val="32"/>
          <w:szCs w:val="32"/>
        </w:rPr>
        <w:t>，排查出一般</w:t>
      </w:r>
      <w:r>
        <w:rPr>
          <w:rFonts w:hint="eastAsia" w:ascii="仿宋_GB2312" w:hAnsi="Times New Roman" w:eastAsia="仿宋_GB2312"/>
          <w:color w:val="000000" w:themeColor="text1"/>
          <w:sz w:val="32"/>
          <w:szCs w:val="32"/>
          <w14:textFill>
            <w14:solidFill>
              <w14:schemeClr w14:val="tx1"/>
            </w14:solidFill>
          </w14:textFill>
        </w:rPr>
        <w:t>安全隐患5项，发出整改通知</w:t>
      </w:r>
      <w:r>
        <w:rPr>
          <w:rFonts w:hint="eastAsia" w:ascii="仿宋_GB2312" w:hAnsi="仿宋_GB2312" w:eastAsia="仿宋_GB2312" w:cs="仿宋_GB2312"/>
          <w:color w:val="000000"/>
          <w:sz w:val="32"/>
          <w:szCs w:val="32"/>
        </w:rPr>
        <w:t>单2张，督促相关企业限期落实整改。与此同时，下属企业开展各类安全自查31次，排查出一般安全隐患91项，已整改91项，整改率1</w:t>
      </w:r>
      <w:r>
        <w:rPr>
          <w:rFonts w:hint="eastAsia" w:ascii="仿宋_GB2312" w:hAnsi="Times New Roman" w:eastAsia="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sz w:val="32"/>
          <w:szCs w:val="32"/>
        </w:rPr>
        <w:t>0%，保障了良好的安全文明施工和安全生产环境，确保了设备良好的健康水平，有效</w:t>
      </w:r>
      <w:r>
        <w:rPr>
          <w:rFonts w:hint="eastAsia" w:ascii="仿宋_GB2312" w:hAnsi="Times New Roman" w:eastAsia="仿宋_GB2312"/>
          <w:color w:val="000000" w:themeColor="text1"/>
          <w:sz w:val="32"/>
          <w:szCs w:val="32"/>
          <w14:textFill>
            <w14:solidFill>
              <w14:schemeClr w14:val="tx1"/>
            </w14:solidFill>
          </w14:textFill>
        </w:rPr>
        <w:t>地防止生产安全事故发生。</w:t>
      </w:r>
    </w:p>
    <w:p w14:paraId="0BD04037">
      <w:pPr>
        <w:tabs>
          <w:tab w:val="left" w:pos="0"/>
        </w:tabs>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通过开展安全检查发现个别企业存在如下一些安全隐患：如粤构公司安全管理架构与实际不符，领导班子职责分工不明确，安全责任制度里有部分中层干部未注明安全职责等；福能电厂的管理</w:t>
      </w:r>
      <w:r>
        <w:rPr>
          <w:rFonts w:hint="eastAsia" w:ascii="仿宋_GB2312" w:hAnsi="仿宋_GB2312" w:eastAsia="仿宋_GB2312" w:cs="仿宋_GB2312"/>
          <w:color w:val="000000"/>
          <w:sz w:val="32"/>
          <w:szCs w:val="32"/>
        </w:rPr>
        <w:t>台账不完善，部分员工资质</w:t>
      </w:r>
      <w:r>
        <w:rPr>
          <w:rFonts w:ascii="仿宋_GB2312" w:hAnsi="仿宋_GB2312" w:eastAsia="仿宋_GB2312" w:cs="仿宋_GB2312"/>
          <w:color w:val="000000"/>
          <w:sz w:val="32"/>
          <w:szCs w:val="32"/>
        </w:rPr>
        <w:t>证书</w:t>
      </w:r>
      <w:r>
        <w:rPr>
          <w:rFonts w:hint="eastAsia" w:ascii="仿宋_GB2312" w:hAnsi="仿宋_GB2312" w:eastAsia="仿宋_GB2312" w:cs="仿宋_GB2312"/>
          <w:color w:val="000000"/>
          <w:sz w:val="32"/>
          <w:szCs w:val="32"/>
        </w:rPr>
        <w:t>未有登记</w:t>
      </w:r>
      <w:r>
        <w:rPr>
          <w:rFonts w:ascii="仿宋_GB2312" w:hAnsi="仿宋_GB2312" w:eastAsia="仿宋_GB2312" w:cs="仿宋_GB2312"/>
          <w:color w:val="000000"/>
          <w:sz w:val="32"/>
          <w:szCs w:val="32"/>
        </w:rPr>
        <w:t>。针对存在问题，电建集团安委办要求各</w:t>
      </w:r>
      <w:r>
        <w:rPr>
          <w:rFonts w:hint="eastAsia" w:ascii="仿宋_GB2312" w:hAnsi="仿宋_GB2312" w:eastAsia="仿宋_GB2312" w:cs="仿宋_GB2312"/>
          <w:color w:val="000000"/>
          <w:sz w:val="32"/>
          <w:szCs w:val="32"/>
        </w:rPr>
        <w:t>企业要建立安全责任体系，明确主要负责人、管理人员和员工的安全职责，强化</w:t>
      </w:r>
      <w:r>
        <w:rPr>
          <w:rFonts w:hint="eastAsia" w:ascii="仿宋_GB2312" w:hAnsi="仿宋_GB2312" w:eastAsia="仿宋_GB2312" w:cs="仿宋_GB2312"/>
          <w:spacing w:val="-1"/>
          <w:sz w:val="32"/>
          <w:szCs w:val="32"/>
        </w:rPr>
        <w:t>安全培训、隐患排查与治理</w:t>
      </w:r>
      <w:r>
        <w:rPr>
          <w:rFonts w:hint="eastAsia" w:ascii="仿宋_GB2312" w:hAnsi="仿宋_GB2312" w:eastAsia="仿宋_GB2312" w:cs="仿宋_GB2312"/>
          <w:color w:val="000000"/>
          <w:sz w:val="32"/>
          <w:szCs w:val="32"/>
        </w:rPr>
        <w:t>，加强安全培训，新员工必须通过“三级安全教育”方可上岗，特种作业人员须持证操作,切实保障员工生命安全</w:t>
      </w:r>
      <w:r>
        <w:rPr>
          <w:rFonts w:ascii="仿宋_GB2312" w:hAnsi="仿宋_GB2312" w:eastAsia="仿宋_GB2312" w:cs="仿宋_GB2312"/>
          <w:color w:val="000000" w:themeColor="text1"/>
          <w:sz w:val="32"/>
          <w:szCs w:val="32"/>
          <w14:textFill>
            <w14:solidFill>
              <w14:schemeClr w14:val="tx1"/>
            </w14:solidFill>
          </w14:textFill>
        </w:rPr>
        <w:t>。</w:t>
      </w:r>
    </w:p>
    <w:p w14:paraId="1760E9E6">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三、2月份安全生产主要工作</w:t>
      </w:r>
    </w:p>
    <w:p w14:paraId="35CFA756">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（一）召开集团公司安全生产会议，听取下属企业安全生产工作汇报，传达上级部门安全生产工作精神，部署集团公司下阶段主要安全生产工作。     </w:t>
      </w:r>
    </w:p>
    <w:p w14:paraId="4AAFD4D0">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（二）要求各下属企业按照佛山市消防安全委员会办公室关于切实加强春节期间消防安全工作的提醒函要求，做好春节、元宵期间消防安全工作。</w:t>
      </w:r>
    </w:p>
    <w:p w14:paraId="7E1901AC">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要求各下属企业按照广东省安全生产委员会办公室关于转发三起重特大事故整改和防范措施落实情况评估报告的函要求，组织员工学习报告内容，并借鉴其中的工作方法，切实开展评估工作，防范、遏制事故发生。</w:t>
      </w:r>
    </w:p>
    <w:p w14:paraId="58F408CA">
      <w:pPr>
        <w:spacing w:line="360" w:lineRule="auto"/>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四）要求各下属企业按照佛山市投资控股集团有限公司关于印发2025年节后复工复产安全培训教育行动工作方案的通知要求，根据实际制定工作方案，并按时将工作方案和总结、台账、培训情况报送集团安委办。</w:t>
      </w:r>
    </w:p>
    <w:p w14:paraId="6EC8DEEE">
      <w:pPr>
        <w:spacing w:line="360" w:lineRule="auto"/>
        <w:ind w:firstLine="640" w:firstLineChars="200"/>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（五）由集团公司安委办督办</w:t>
      </w:r>
      <w:r>
        <w:rPr>
          <w:rFonts w:hint="eastAsia" w:ascii="仿宋_GB2312" w:hAnsi="仿宋_GB2312" w:eastAsia="仿宋_GB2312" w:cs="仿宋_GB2312"/>
          <w:color w:val="000000" w:themeColor="text1"/>
          <w:sz w:val="32"/>
          <w:szCs w:val="32"/>
          <w14:textFill>
            <w14:solidFill>
              <w14:schemeClr w14:val="tx1"/>
            </w14:solidFill>
          </w14:textFill>
        </w:rPr>
        <w:t>恒益</w:t>
      </w:r>
      <w:r>
        <w:rPr>
          <w:rFonts w:hint="eastAsia" w:ascii="仿宋_GB2312" w:hAnsi="仿宋_GB2312" w:eastAsia="仿宋_GB2312" w:cs="仿宋_GB2312"/>
          <w:color w:val="000000" w:themeColor="text1"/>
          <w:sz w:val="32"/>
          <w:szCs w:val="32"/>
          <w:lang w:eastAsia="zh-CN"/>
          <w14:textFill>
            <w14:solidFill>
              <w14:schemeClr w14:val="tx1"/>
            </w14:solidFill>
          </w14:textFill>
        </w:rPr>
        <w:t>热</w:t>
      </w:r>
      <w:r>
        <w:rPr>
          <w:rFonts w:hint="eastAsia" w:ascii="仿宋_GB2312" w:hAnsi="仿宋_GB2312" w:eastAsia="仿宋_GB2312" w:cs="仿宋_GB2312"/>
          <w:color w:val="000000" w:themeColor="text1"/>
          <w:sz w:val="32"/>
          <w:szCs w:val="32"/>
          <w14:textFill>
            <w14:solidFill>
              <w14:schemeClr w14:val="tx1"/>
            </w14:solidFill>
          </w14:textFill>
        </w:rPr>
        <w:t>电厂“2.11”全站失压事件</w:t>
      </w:r>
      <w:r>
        <w:rPr>
          <w:rFonts w:hint="eastAsia" w:ascii="仿宋_GB2312" w:hAnsi="仿宋_GB2312" w:eastAsia="仿宋_GB2312" w:cs="仿宋_GB2312"/>
          <w:color w:val="000000" w:themeColor="text1"/>
          <w:sz w:val="32"/>
          <w:szCs w:val="32"/>
          <w:lang w:eastAsia="zh-CN"/>
          <w14:textFill>
            <w14:solidFill>
              <w14:schemeClr w14:val="tx1"/>
            </w14:solidFill>
          </w14:textFill>
        </w:rPr>
        <w:t>，事件调查结果待定。</w:t>
      </w:r>
    </w:p>
    <w:p w14:paraId="174F87DE">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做好安全生产隐患排查治理信息统计和报送工作，按要求将安全生产隐患排查信息统计资料报送佛控集团和南方能源监管局。</w:t>
      </w:r>
    </w:p>
    <w:p w14:paraId="41E3B13E">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75C35CA5">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（一）文件通知转发</w:t>
      </w:r>
    </w:p>
    <w:p w14:paraId="394D626F">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1.佛山市消防安全委员会办公室关于佛山市1月份消防安全形势分析及2月份消防工作预警的报告。</w:t>
      </w:r>
    </w:p>
    <w:p w14:paraId="755F33AB">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2.佛山市消防安全委员会办公室关于开展2025年度佛山市消防安全重点单位申报工作的函。</w:t>
      </w:r>
    </w:p>
    <w:p w14:paraId="1167B2CF">
      <w:pPr>
        <w:spacing w:line="360" w:lineRule="auto"/>
        <w:ind w:firstLine="640" w:firstLineChars="200"/>
        <w:rPr>
          <w:rStyle w:val="20"/>
          <w:rFonts w:ascii="仿宋" w:hAnsi="仿宋" w:eastAsia="仿宋"/>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（二）工作简讯</w:t>
      </w:r>
    </w:p>
    <w:p w14:paraId="4E7BA1BE">
      <w:pPr>
        <w:pStyle w:val="11"/>
        <w:shd w:val="clear" w:color="auto" w:fill="FFFFFF"/>
        <w:spacing w:before="0" w:beforeAutospacing="0" w:after="0" w:afterAutospacing="0" w:line="336" w:lineRule="atLeast"/>
        <w:ind w:firstLine="640"/>
        <w:jc w:val="both"/>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Times New Roman" w:eastAsia="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pacing w:val="2"/>
          <w:sz w:val="32"/>
          <w:szCs w:val="32"/>
          <w14:textFill>
            <w14:solidFill>
              <w14:schemeClr w14:val="tx1"/>
            </w14:solidFill>
          </w14:textFill>
        </w:rPr>
        <w:t>恒益热电厂</w:t>
      </w:r>
      <w:r>
        <w:rPr>
          <w:rFonts w:hint="eastAsia" w:ascii="仿宋_GB2312" w:hAnsi="Times New Roman" w:eastAsia="仿宋_GB2312"/>
          <w:color w:val="000000" w:themeColor="text1"/>
          <w:sz w:val="32"/>
          <w:szCs w:val="32"/>
          <w14:textFill>
            <w14:solidFill>
              <w14:schemeClr w14:val="tx1"/>
            </w14:solidFill>
          </w14:textFill>
        </w:rPr>
        <w:t>安全简讯</w:t>
      </w:r>
    </w:p>
    <w:p w14:paraId="41678825">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恒益热电厂组织开展节后复工复产“六个一”工作；组织开展“奋战一百天，全力保平安”火灾防控专项行动；开展#2炉内部检验时发现问题的整改工作；组织“2.11”升压站故障检修安全监管工作。</w:t>
      </w:r>
    </w:p>
    <w:p w14:paraId="6AFE2D5A">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2.福能电厂安全简讯</w:t>
      </w:r>
    </w:p>
    <w:p w14:paraId="04B8CA4E">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福能电厂组织开展节后复工复产“六个一”工作；召开机组黑启动讨论会；组织特种作业人员安全培训，共21人参加；完成汽机房储气罐使用年限延期的变更手续。</w:t>
      </w:r>
    </w:p>
    <w:p w14:paraId="35A36C97">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3.环保建材公司安全简讯</w:t>
      </w:r>
    </w:p>
    <w:p w14:paraId="6855B171">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环保建材公司组织开展节后复工复产“六个一”工作；组织2批次外包工程人员安全培训,共5人参加；颁布2025年公司新的安全生产网络架构和新的义务消防队员名单；组织开展2025年工作票“三种人”培训考核，并发布“三种人”名单。</w:t>
      </w:r>
    </w:p>
    <w:p w14:paraId="221172A6">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4.高顿泰公司安全简讯</w:t>
      </w:r>
    </w:p>
    <w:p w14:paraId="5B61B151">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高顿泰公司组织开展节后复工复产“六个一”工作；组织安全宣教线下培训，共22人参加；组织企业负责人参加西南街道举办的节后复工复产会议及培训；召开2025年安委会工作会议，部署2025年相关工作。</w:t>
      </w:r>
    </w:p>
    <w:p w14:paraId="4DB477AE">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5.粤</w:t>
      </w:r>
      <w:r>
        <w:rPr>
          <w:rFonts w:hint="eastAsia" w:ascii="仿宋_GB2312" w:hAnsi="仿宋_GB2312" w:eastAsia="仿宋_GB2312" w:cs="仿宋_GB2312"/>
          <w:color w:val="000000" w:themeColor="text1"/>
          <w:sz w:val="32"/>
          <w:szCs w:val="32"/>
          <w14:textFill>
            <w14:solidFill>
              <w14:schemeClr w14:val="tx1"/>
            </w14:solidFill>
          </w14:textFill>
        </w:rPr>
        <w:t>构公司安全简讯</w:t>
      </w:r>
    </w:p>
    <w:p w14:paraId="49D2FFC7">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粤构公司组织开展节后复工复产“六个一”工作；组织特种设备操作培训，共65人参加；组织蒸压釜和起重机应急演练，共174人参加；组织全员春节后复工复产安全教育培训。</w:t>
      </w:r>
    </w:p>
    <w:p w14:paraId="04BC1107">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（三）监管动态</w:t>
      </w:r>
    </w:p>
    <w:p w14:paraId="648E9329">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w:t>
      </w:r>
      <w:r>
        <w:rPr>
          <w:rFonts w:hint="eastAsia" w:ascii="仿宋_GB2312" w:hAnsi="Times New Roman" w:eastAsia="仿宋_GB2312"/>
          <w:color w:val="000000" w:themeColor="text1"/>
          <w:sz w:val="32"/>
          <w:szCs w:val="32"/>
          <w14:textFill>
            <w14:solidFill>
              <w14:schemeClr w14:val="tx1"/>
            </w14:solidFill>
          </w14:textFill>
        </w:rPr>
        <w:t>恒益热电厂安全检查发现的主要问题：</w:t>
      </w:r>
    </w:p>
    <w:p w14:paraId="42D7F130">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（1）#2炉第十二层有管道抱箍遗留在钢架上。</w:t>
      </w:r>
    </w:p>
    <w:p w14:paraId="30FC5542">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w:t>
      </w:r>
      <w:bookmarkStart w:id="0" w:name="OLE_LINK7"/>
      <w:bookmarkStart w:id="1" w:name="OLE_LINK8"/>
      <w:r>
        <w:rPr>
          <w:rFonts w:hint="eastAsia" w:ascii="仿宋_GB2312" w:hAnsi="仿宋_GB2312" w:eastAsia="仿宋_GB2312" w:cs="仿宋_GB2312"/>
          <w:color w:val="000000" w:themeColor="text1"/>
          <w:sz w:val="32"/>
          <w:szCs w:val="32"/>
          <w14:textFill>
            <w14:solidFill>
              <w14:schemeClr w14:val="tx1"/>
            </w14:solidFill>
          </w14:textFill>
        </w:rPr>
        <w:t>#2汽机房西侧楼梯的照面开关面板缺失</w:t>
      </w:r>
      <w:bookmarkEnd w:id="0"/>
      <w:bookmarkEnd w:id="1"/>
      <w:r>
        <w:rPr>
          <w:rFonts w:hint="eastAsia" w:ascii="仿宋_GB2312" w:hAnsi="仿宋_GB2312" w:eastAsia="仿宋_GB2312" w:cs="仿宋_GB2312"/>
          <w:color w:val="000000" w:themeColor="text1"/>
          <w:sz w:val="32"/>
          <w:szCs w:val="32"/>
          <w14:textFill>
            <w14:solidFill>
              <w14:schemeClr w14:val="tx1"/>
            </w14:solidFill>
          </w14:textFill>
        </w:rPr>
        <w:t>。</w:t>
      </w:r>
    </w:p>
    <w:p w14:paraId="35176EC1">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bookmarkStart w:id="2" w:name="OLE_LINK9"/>
      <w:bookmarkStart w:id="3" w:name="OLE_LINK10"/>
      <w:r>
        <w:rPr>
          <w:rFonts w:hint="eastAsia" w:ascii="仿宋_GB2312" w:hAnsi="仿宋_GB2312" w:eastAsia="仿宋_GB2312" w:cs="仿宋_GB2312"/>
          <w:color w:val="000000" w:themeColor="text1"/>
          <w:sz w:val="32"/>
          <w:szCs w:val="32"/>
          <w14:textFill>
            <w14:solidFill>
              <w14:schemeClr w14:val="tx1"/>
            </w14:solidFill>
          </w14:textFill>
        </w:rPr>
        <w:t>#2炉第八层脱硝区域有灭火器</w:t>
      </w:r>
      <w:bookmarkEnd w:id="2"/>
      <w:bookmarkEnd w:id="3"/>
      <w:r>
        <w:rPr>
          <w:rFonts w:hint="eastAsia" w:ascii="仿宋_GB2312" w:hAnsi="仿宋_GB2312" w:eastAsia="仿宋_GB2312" w:cs="仿宋_GB2312"/>
          <w:color w:val="000000" w:themeColor="text1"/>
          <w:sz w:val="32"/>
          <w:szCs w:val="32"/>
          <w14:textFill>
            <w14:solidFill>
              <w14:schemeClr w14:val="tx1"/>
            </w14:solidFill>
          </w14:textFill>
        </w:rPr>
        <w:t>没有按时定期检查。</w:t>
      </w:r>
    </w:p>
    <w:p w14:paraId="6E050C1F">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（4）精处理酸碱罐区和再生间之间的盖板损坏。</w:t>
      </w:r>
    </w:p>
    <w:p w14:paraId="57F2345D">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p>
    <w:p w14:paraId="706E536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2.福能电厂安全检查发现的主要问题：</w:t>
      </w:r>
    </w:p>
    <w:p w14:paraId="7112B5F0">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（1）#7汽机后缸排汽温度显示有故障。</w:t>
      </w:r>
    </w:p>
    <w:p w14:paraId="6B74D425">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（2）#41低厂变#2散热风机有异物缠绕。</w:t>
      </w:r>
    </w:p>
    <w:p w14:paraId="49C19E75">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（3）4号、5号主变对面有一个消防栓阀芯漏水。</w:t>
      </w:r>
    </w:p>
    <w:p w14:paraId="21F3E3B0">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（4）宿舍6楼南面有一个铝合金窗松脱。</w:t>
      </w:r>
    </w:p>
    <w:p w14:paraId="3366A64F">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45FE67E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3.环保建材公司安全检查发现的主要问题：</w:t>
      </w:r>
    </w:p>
    <w:p w14:paraId="51395927">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（1）7#蒸压釜旁屋顶立柱严重腐蚀。</w:t>
      </w:r>
    </w:p>
    <w:p w14:paraId="681EF939">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（2）加气浇注楼三楼水泥给料机电机渗油。</w:t>
      </w:r>
    </w:p>
    <w:p w14:paraId="50E07115">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（3）蒸压釜压力管道保温层脱落。</w:t>
      </w:r>
    </w:p>
    <w:p w14:paraId="243E18C9">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r>
        <w:rPr>
          <w:rFonts w:hint="eastAsia" w:ascii="仿宋_GB2312" w:hAnsi="Times New Roman" w:eastAsia="仿宋_GB2312"/>
          <w:color w:val="000000" w:themeColor="text1"/>
          <w:sz w:val="32"/>
          <w:szCs w:val="32"/>
          <w14:textFill>
            <w14:solidFill>
              <w14:schemeClr w14:val="tx1"/>
            </w14:solidFill>
          </w14:textFill>
        </w:rPr>
        <w:t>。</w:t>
      </w:r>
    </w:p>
    <w:p w14:paraId="4CC6E720">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4.高顿泰公司安全检查发现的主要问题：</w:t>
      </w:r>
    </w:p>
    <w:p w14:paraId="3E9CCD11">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w:t>
      </w:r>
      <w:r>
        <w:rPr>
          <w:rFonts w:hint="eastAsia" w:ascii="仿宋_GB2312" w:hAnsi="仿宋" w:eastAsia="仿宋_GB2312"/>
          <w:color w:val="000000" w:themeColor="text1"/>
          <w:sz w:val="32"/>
          <w:szCs w:val="32"/>
          <w14:textFill>
            <w14:solidFill>
              <w14:schemeClr w14:val="tx1"/>
            </w14:solidFill>
          </w14:textFill>
        </w:rPr>
        <w:t>1）厂内新改造的单车棚、电车充电桩安全警示标志未完善，需要补充。</w:t>
      </w:r>
    </w:p>
    <w:p w14:paraId="742FB76A">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（2）单车棚充电盒缺失保护盖。</w:t>
      </w:r>
    </w:p>
    <w:p w14:paraId="25051FD0">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（3）天燃气锅炉房通道摆放工具未及时清理。</w:t>
      </w:r>
    </w:p>
    <w:p w14:paraId="2501F3E8">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0993C24F">
      <w:pPr>
        <w:pStyle w:val="2"/>
        <w:tabs>
          <w:tab w:val="left" w:pos="312"/>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5.粤构公司安全检查发现的主要问题：</w:t>
      </w:r>
    </w:p>
    <w:p w14:paraId="36EAE07C">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（1）构件1车间一楼釜前堆桩通道放有钢丝绳未清理，阻挡通道。</w:t>
      </w:r>
    </w:p>
    <w:p w14:paraId="02290031">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（2）构件1车间一楼布料区有一个电箱门未安装接地跨接线。</w:t>
      </w:r>
    </w:p>
    <w:p w14:paraId="766399EF">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（3）构件机床制作房有一具推车式灭火器未有定期检查记录。</w:t>
      </w:r>
    </w:p>
    <w:p w14:paraId="2A4564DB">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（4）构件2车间电机转动防护罩已磨损未及时处理。</w:t>
      </w:r>
    </w:p>
    <w:p w14:paraId="20BA64EB">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30219354">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五、2025年3月份主要工作计划</w:t>
      </w:r>
      <w:r>
        <w:rPr>
          <w:rFonts w:hint="eastAsia" w:ascii="仿宋_GB2312" w:eastAsia="仿宋_GB2312"/>
          <w:color w:val="000000" w:themeColor="text1"/>
          <w:sz w:val="32"/>
          <w:szCs w:val="32"/>
          <w14:textFill>
            <w14:solidFill>
              <w14:schemeClr w14:val="tx1"/>
            </w14:solidFill>
          </w14:textFill>
        </w:rPr>
        <w:t xml:space="preserve"> </w:t>
      </w:r>
    </w:p>
    <w:p w14:paraId="6B0FCF55">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（一）组织下属各企业开展外包工程专项安全检查。</w:t>
      </w:r>
    </w:p>
    <w:p w14:paraId="36EEC71A">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（二）做好第1季度集团公司安委会工作总结。</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492D8">
    <w:pPr>
      <w:pStyle w:val="8"/>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AFCA2">
                          <w:pPr>
                            <w:pStyle w:val="8"/>
                            <w:rPr>
                              <w:rStyle w:val="16"/>
                            </w:rPr>
                          </w:pPr>
                          <w:r>
                            <w:fldChar w:fldCharType="begin"/>
                          </w:r>
                          <w:r>
                            <w:rPr>
                              <w:rStyle w:val="16"/>
                            </w:rPr>
                            <w:instrText xml:space="preserve">PAGE  </w:instrText>
                          </w:r>
                          <w:r>
                            <w:fldChar w:fldCharType="separate"/>
                          </w:r>
                          <w:r>
                            <w:rPr>
                              <w:rStyle w:val="16"/>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F5AFCA2">
                    <w:pPr>
                      <w:pStyle w:val="8"/>
                      <w:rPr>
                        <w:rStyle w:val="16"/>
                      </w:rPr>
                    </w:pPr>
                    <w:r>
                      <w:fldChar w:fldCharType="begin"/>
                    </w:r>
                    <w:r>
                      <w:rPr>
                        <w:rStyle w:val="16"/>
                      </w:rPr>
                      <w:instrText xml:space="preserve">PAGE  </w:instrText>
                    </w:r>
                    <w:r>
                      <w:fldChar w:fldCharType="separate"/>
                    </w:r>
                    <w:r>
                      <w:rPr>
                        <w:rStyle w:val="16"/>
                      </w:rPr>
                      <w:t>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E0D0">
    <w:pPr>
      <w:pStyle w:val="8"/>
      <w:framePr w:wrap="around" w:vAnchor="text" w:hAnchor="margin" w:xAlign="right" w:y="1"/>
      <w:rPr>
        <w:rStyle w:val="16"/>
      </w:rPr>
    </w:pPr>
    <w:r>
      <w:fldChar w:fldCharType="begin"/>
    </w:r>
    <w:r>
      <w:rPr>
        <w:rStyle w:val="16"/>
      </w:rPr>
      <w:instrText xml:space="preserve">PAGE  </w:instrText>
    </w:r>
    <w:r>
      <w:fldChar w:fldCharType="end"/>
    </w:r>
  </w:p>
  <w:p w14:paraId="538835DD">
    <w:pPr>
      <w:pStyle w:val="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6945A2"/>
    <w:multiLevelType w:val="singleLevel"/>
    <w:tmpl w:val="4B6945A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65536"/>
    <w:rsid w:val="000B0B7C"/>
    <w:rsid w:val="000C70A8"/>
    <w:rsid w:val="000D4094"/>
    <w:rsid w:val="000E1CA4"/>
    <w:rsid w:val="00101D07"/>
    <w:rsid w:val="00110E84"/>
    <w:rsid w:val="00134504"/>
    <w:rsid w:val="0013632B"/>
    <w:rsid w:val="001374A9"/>
    <w:rsid w:val="001647C8"/>
    <w:rsid w:val="00172A27"/>
    <w:rsid w:val="001C4CB3"/>
    <w:rsid w:val="001E4D70"/>
    <w:rsid w:val="002009FF"/>
    <w:rsid w:val="0020528B"/>
    <w:rsid w:val="002411CC"/>
    <w:rsid w:val="00252A19"/>
    <w:rsid w:val="002576AF"/>
    <w:rsid w:val="00280616"/>
    <w:rsid w:val="002935EF"/>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D5CBB"/>
    <w:rsid w:val="004E562A"/>
    <w:rsid w:val="004E6FB1"/>
    <w:rsid w:val="00501F8F"/>
    <w:rsid w:val="00506756"/>
    <w:rsid w:val="0052498B"/>
    <w:rsid w:val="00555A2F"/>
    <w:rsid w:val="00571F52"/>
    <w:rsid w:val="0059040A"/>
    <w:rsid w:val="00595CA4"/>
    <w:rsid w:val="005B5291"/>
    <w:rsid w:val="005B5706"/>
    <w:rsid w:val="005D7B0C"/>
    <w:rsid w:val="00601E34"/>
    <w:rsid w:val="006104C2"/>
    <w:rsid w:val="0064063F"/>
    <w:rsid w:val="00645F59"/>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2EB9"/>
    <w:rsid w:val="00814DEB"/>
    <w:rsid w:val="00866C87"/>
    <w:rsid w:val="00880482"/>
    <w:rsid w:val="00890C27"/>
    <w:rsid w:val="008A1EA8"/>
    <w:rsid w:val="008E21DA"/>
    <w:rsid w:val="008F13E9"/>
    <w:rsid w:val="008F27B3"/>
    <w:rsid w:val="00907F44"/>
    <w:rsid w:val="009335CF"/>
    <w:rsid w:val="00943B76"/>
    <w:rsid w:val="009512B5"/>
    <w:rsid w:val="00952C14"/>
    <w:rsid w:val="00961F40"/>
    <w:rsid w:val="00980201"/>
    <w:rsid w:val="009D62AC"/>
    <w:rsid w:val="009F2D64"/>
    <w:rsid w:val="00A04442"/>
    <w:rsid w:val="00A05990"/>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93BFA"/>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F2E52"/>
    <w:rsid w:val="00DF75FB"/>
    <w:rsid w:val="00E22BFD"/>
    <w:rsid w:val="00E3634C"/>
    <w:rsid w:val="00E3708A"/>
    <w:rsid w:val="00E433E5"/>
    <w:rsid w:val="00E47DD7"/>
    <w:rsid w:val="00E51DB6"/>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A2BD0"/>
    <w:rsid w:val="00FD4B27"/>
    <w:rsid w:val="00FD6468"/>
    <w:rsid w:val="00FE6895"/>
    <w:rsid w:val="00FF462D"/>
    <w:rsid w:val="01034859"/>
    <w:rsid w:val="011B0A4F"/>
    <w:rsid w:val="01242CAF"/>
    <w:rsid w:val="01CA24C7"/>
    <w:rsid w:val="020B790C"/>
    <w:rsid w:val="02185696"/>
    <w:rsid w:val="022D6BD4"/>
    <w:rsid w:val="02586F69"/>
    <w:rsid w:val="02923BD0"/>
    <w:rsid w:val="032772C1"/>
    <w:rsid w:val="032F1310"/>
    <w:rsid w:val="033731A6"/>
    <w:rsid w:val="03576BCE"/>
    <w:rsid w:val="03FE20B0"/>
    <w:rsid w:val="04104066"/>
    <w:rsid w:val="04992949"/>
    <w:rsid w:val="049E29BB"/>
    <w:rsid w:val="04C827E7"/>
    <w:rsid w:val="052A3241"/>
    <w:rsid w:val="0534627A"/>
    <w:rsid w:val="05E35BCF"/>
    <w:rsid w:val="05EC5B72"/>
    <w:rsid w:val="060D0F85"/>
    <w:rsid w:val="062634BA"/>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C917B0"/>
    <w:rsid w:val="09D06882"/>
    <w:rsid w:val="0A0D723E"/>
    <w:rsid w:val="0A1F0721"/>
    <w:rsid w:val="0A6A19ED"/>
    <w:rsid w:val="0A7C242C"/>
    <w:rsid w:val="0A9A51F0"/>
    <w:rsid w:val="0AAB0D8C"/>
    <w:rsid w:val="0B0B11BF"/>
    <w:rsid w:val="0B0E1E87"/>
    <w:rsid w:val="0B42435B"/>
    <w:rsid w:val="0BCB4B16"/>
    <w:rsid w:val="0C07781D"/>
    <w:rsid w:val="0C3A1932"/>
    <w:rsid w:val="0C5C273B"/>
    <w:rsid w:val="0C7B478E"/>
    <w:rsid w:val="0CA57D97"/>
    <w:rsid w:val="0D2E7129"/>
    <w:rsid w:val="0D7F2007"/>
    <w:rsid w:val="0D892ADE"/>
    <w:rsid w:val="0DB849C7"/>
    <w:rsid w:val="0DDA1988"/>
    <w:rsid w:val="0E9E1D81"/>
    <w:rsid w:val="0EB8078D"/>
    <w:rsid w:val="0EE82E09"/>
    <w:rsid w:val="0EEE4D47"/>
    <w:rsid w:val="0F1F532D"/>
    <w:rsid w:val="0F255CCE"/>
    <w:rsid w:val="0F4916C9"/>
    <w:rsid w:val="0F873629"/>
    <w:rsid w:val="0FA26822"/>
    <w:rsid w:val="0FB80A48"/>
    <w:rsid w:val="0FCF6CD0"/>
    <w:rsid w:val="0FF24D69"/>
    <w:rsid w:val="0FF26B15"/>
    <w:rsid w:val="10305890"/>
    <w:rsid w:val="103600C2"/>
    <w:rsid w:val="10DC4BD3"/>
    <w:rsid w:val="10FE3661"/>
    <w:rsid w:val="11101768"/>
    <w:rsid w:val="112453F4"/>
    <w:rsid w:val="1146383C"/>
    <w:rsid w:val="114E2471"/>
    <w:rsid w:val="11683CF4"/>
    <w:rsid w:val="1183790A"/>
    <w:rsid w:val="1188590C"/>
    <w:rsid w:val="11D3496D"/>
    <w:rsid w:val="12154EFC"/>
    <w:rsid w:val="126641D7"/>
    <w:rsid w:val="12B5052F"/>
    <w:rsid w:val="12CB3B2B"/>
    <w:rsid w:val="12E23CE3"/>
    <w:rsid w:val="12EA74CE"/>
    <w:rsid w:val="132072B9"/>
    <w:rsid w:val="13272BE8"/>
    <w:rsid w:val="133E3D75"/>
    <w:rsid w:val="137666E0"/>
    <w:rsid w:val="13875BBE"/>
    <w:rsid w:val="138F4439"/>
    <w:rsid w:val="1398701B"/>
    <w:rsid w:val="13A26F8A"/>
    <w:rsid w:val="141B02CD"/>
    <w:rsid w:val="143432E8"/>
    <w:rsid w:val="147529B9"/>
    <w:rsid w:val="14BF6A92"/>
    <w:rsid w:val="14C13AAA"/>
    <w:rsid w:val="15067DAD"/>
    <w:rsid w:val="15073BD6"/>
    <w:rsid w:val="156815F2"/>
    <w:rsid w:val="156E30E2"/>
    <w:rsid w:val="158741A4"/>
    <w:rsid w:val="1592522F"/>
    <w:rsid w:val="159573B7"/>
    <w:rsid w:val="15B11646"/>
    <w:rsid w:val="15DA4C68"/>
    <w:rsid w:val="16260A19"/>
    <w:rsid w:val="16474DE3"/>
    <w:rsid w:val="164B44B0"/>
    <w:rsid w:val="165453C2"/>
    <w:rsid w:val="16554514"/>
    <w:rsid w:val="1658057C"/>
    <w:rsid w:val="16866448"/>
    <w:rsid w:val="168E63BD"/>
    <w:rsid w:val="169D7A1E"/>
    <w:rsid w:val="171E5B69"/>
    <w:rsid w:val="17930970"/>
    <w:rsid w:val="179C2A20"/>
    <w:rsid w:val="17B934A9"/>
    <w:rsid w:val="186C142F"/>
    <w:rsid w:val="1875139A"/>
    <w:rsid w:val="18AE49CC"/>
    <w:rsid w:val="18B06D67"/>
    <w:rsid w:val="18DD746E"/>
    <w:rsid w:val="19051CB0"/>
    <w:rsid w:val="19202945"/>
    <w:rsid w:val="193617AF"/>
    <w:rsid w:val="194A0BCA"/>
    <w:rsid w:val="1966000D"/>
    <w:rsid w:val="19662123"/>
    <w:rsid w:val="196F2AEF"/>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B134B54"/>
    <w:rsid w:val="1B172DB6"/>
    <w:rsid w:val="1B1E0B43"/>
    <w:rsid w:val="1B734F11"/>
    <w:rsid w:val="1B8271CE"/>
    <w:rsid w:val="1BA55603"/>
    <w:rsid w:val="1C1B13CC"/>
    <w:rsid w:val="1C4F3C15"/>
    <w:rsid w:val="1C570205"/>
    <w:rsid w:val="1C626DD1"/>
    <w:rsid w:val="1C916A6D"/>
    <w:rsid w:val="1CC24CA5"/>
    <w:rsid w:val="1CCF4241"/>
    <w:rsid w:val="1CD26B3B"/>
    <w:rsid w:val="1CD32CF2"/>
    <w:rsid w:val="1CE50760"/>
    <w:rsid w:val="1D51788B"/>
    <w:rsid w:val="1DB2148C"/>
    <w:rsid w:val="1DB8237B"/>
    <w:rsid w:val="1DC553F5"/>
    <w:rsid w:val="1DCC309C"/>
    <w:rsid w:val="1E1E7C97"/>
    <w:rsid w:val="1E366995"/>
    <w:rsid w:val="1E5D135E"/>
    <w:rsid w:val="1E70596F"/>
    <w:rsid w:val="1E71153B"/>
    <w:rsid w:val="1EF87EC0"/>
    <w:rsid w:val="1EFF11EA"/>
    <w:rsid w:val="1F401224"/>
    <w:rsid w:val="1F5167ED"/>
    <w:rsid w:val="1F555207"/>
    <w:rsid w:val="1F880AA9"/>
    <w:rsid w:val="1F8D2690"/>
    <w:rsid w:val="1F8F0605"/>
    <w:rsid w:val="1FC447F8"/>
    <w:rsid w:val="1FC524CA"/>
    <w:rsid w:val="1FD16199"/>
    <w:rsid w:val="1FDF04A6"/>
    <w:rsid w:val="200B11FF"/>
    <w:rsid w:val="204233A4"/>
    <w:rsid w:val="209061C6"/>
    <w:rsid w:val="20B6280C"/>
    <w:rsid w:val="20DA2292"/>
    <w:rsid w:val="20DE36B5"/>
    <w:rsid w:val="20E072B8"/>
    <w:rsid w:val="21101BD5"/>
    <w:rsid w:val="211F5C0D"/>
    <w:rsid w:val="212A0BF1"/>
    <w:rsid w:val="215D0457"/>
    <w:rsid w:val="217801DA"/>
    <w:rsid w:val="219E4D4F"/>
    <w:rsid w:val="21AB4F02"/>
    <w:rsid w:val="21BE732C"/>
    <w:rsid w:val="221A2BB7"/>
    <w:rsid w:val="226338A3"/>
    <w:rsid w:val="22AF4D3A"/>
    <w:rsid w:val="22BD0F89"/>
    <w:rsid w:val="22D83187"/>
    <w:rsid w:val="23692A54"/>
    <w:rsid w:val="23887A65"/>
    <w:rsid w:val="239857CE"/>
    <w:rsid w:val="23F36B11"/>
    <w:rsid w:val="24162C37"/>
    <w:rsid w:val="24182B80"/>
    <w:rsid w:val="241E4FE7"/>
    <w:rsid w:val="243674C1"/>
    <w:rsid w:val="245C59C0"/>
    <w:rsid w:val="246B2FD6"/>
    <w:rsid w:val="25001C88"/>
    <w:rsid w:val="25014E04"/>
    <w:rsid w:val="25015F9F"/>
    <w:rsid w:val="250A069B"/>
    <w:rsid w:val="255F609C"/>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753A88"/>
    <w:rsid w:val="27EC3D21"/>
    <w:rsid w:val="27FA50D0"/>
    <w:rsid w:val="285C14C0"/>
    <w:rsid w:val="28BC442B"/>
    <w:rsid w:val="28E956ED"/>
    <w:rsid w:val="29275E18"/>
    <w:rsid w:val="29413A4D"/>
    <w:rsid w:val="29430F3E"/>
    <w:rsid w:val="296917C9"/>
    <w:rsid w:val="29B66AF6"/>
    <w:rsid w:val="29EE5B3D"/>
    <w:rsid w:val="29F93984"/>
    <w:rsid w:val="2A203563"/>
    <w:rsid w:val="2A794DC8"/>
    <w:rsid w:val="2A8E4390"/>
    <w:rsid w:val="2ABC4930"/>
    <w:rsid w:val="2AD05060"/>
    <w:rsid w:val="2B514BE0"/>
    <w:rsid w:val="2B5F5A86"/>
    <w:rsid w:val="2B770E13"/>
    <w:rsid w:val="2B7872E7"/>
    <w:rsid w:val="2BCB6C93"/>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A941F3"/>
    <w:rsid w:val="300B3EF7"/>
    <w:rsid w:val="301B2AE6"/>
    <w:rsid w:val="30366C6D"/>
    <w:rsid w:val="309B4AC6"/>
    <w:rsid w:val="309D10A9"/>
    <w:rsid w:val="30AF571A"/>
    <w:rsid w:val="31086EA9"/>
    <w:rsid w:val="312F7E21"/>
    <w:rsid w:val="3138415A"/>
    <w:rsid w:val="31790B63"/>
    <w:rsid w:val="31801DC6"/>
    <w:rsid w:val="31857873"/>
    <w:rsid w:val="31B5062E"/>
    <w:rsid w:val="31B8440A"/>
    <w:rsid w:val="31E06CBE"/>
    <w:rsid w:val="31F9369D"/>
    <w:rsid w:val="322F554F"/>
    <w:rsid w:val="32E71948"/>
    <w:rsid w:val="33181D5C"/>
    <w:rsid w:val="3364661F"/>
    <w:rsid w:val="338D0E35"/>
    <w:rsid w:val="33DF0372"/>
    <w:rsid w:val="340401CA"/>
    <w:rsid w:val="34064F33"/>
    <w:rsid w:val="340824FC"/>
    <w:rsid w:val="34157E83"/>
    <w:rsid w:val="341E6D75"/>
    <w:rsid w:val="34236BBD"/>
    <w:rsid w:val="34422D10"/>
    <w:rsid w:val="345B7CA7"/>
    <w:rsid w:val="346A0AC1"/>
    <w:rsid w:val="34716A72"/>
    <w:rsid w:val="348E2A01"/>
    <w:rsid w:val="34D15E0D"/>
    <w:rsid w:val="34E75D84"/>
    <w:rsid w:val="34F82448"/>
    <w:rsid w:val="350B04F3"/>
    <w:rsid w:val="350C6556"/>
    <w:rsid w:val="3535269B"/>
    <w:rsid w:val="35951B6D"/>
    <w:rsid w:val="35C020D4"/>
    <w:rsid w:val="35E825E5"/>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CE75B8"/>
    <w:rsid w:val="37DE260D"/>
    <w:rsid w:val="37FE42B1"/>
    <w:rsid w:val="3873436A"/>
    <w:rsid w:val="389036F0"/>
    <w:rsid w:val="38934451"/>
    <w:rsid w:val="38C05153"/>
    <w:rsid w:val="38C56C0D"/>
    <w:rsid w:val="390D0555"/>
    <w:rsid w:val="39184F8F"/>
    <w:rsid w:val="392F3967"/>
    <w:rsid w:val="394E6067"/>
    <w:rsid w:val="39773D74"/>
    <w:rsid w:val="397F6DBC"/>
    <w:rsid w:val="39B207AA"/>
    <w:rsid w:val="39F209C1"/>
    <w:rsid w:val="3A105C66"/>
    <w:rsid w:val="3A242C8F"/>
    <w:rsid w:val="3A650A63"/>
    <w:rsid w:val="3A6968C1"/>
    <w:rsid w:val="3A8013C4"/>
    <w:rsid w:val="3A8F3807"/>
    <w:rsid w:val="3AC802EF"/>
    <w:rsid w:val="3ACE6E61"/>
    <w:rsid w:val="3AE772A3"/>
    <w:rsid w:val="3AF46881"/>
    <w:rsid w:val="3B2F374B"/>
    <w:rsid w:val="3B524FFD"/>
    <w:rsid w:val="3B5B2830"/>
    <w:rsid w:val="3B7F0BC7"/>
    <w:rsid w:val="3B806E1C"/>
    <w:rsid w:val="3B9163DF"/>
    <w:rsid w:val="3BC71B89"/>
    <w:rsid w:val="3BC850D1"/>
    <w:rsid w:val="3BCB4CCC"/>
    <w:rsid w:val="3BDA0415"/>
    <w:rsid w:val="3C3F0617"/>
    <w:rsid w:val="3C67406A"/>
    <w:rsid w:val="3C754ED3"/>
    <w:rsid w:val="3CC6538C"/>
    <w:rsid w:val="3CE16366"/>
    <w:rsid w:val="3D862EC0"/>
    <w:rsid w:val="3D9271A2"/>
    <w:rsid w:val="3DFB7B63"/>
    <w:rsid w:val="3E051C08"/>
    <w:rsid w:val="3E142F88"/>
    <w:rsid w:val="3E1D4DF6"/>
    <w:rsid w:val="3E261EFC"/>
    <w:rsid w:val="3E405145"/>
    <w:rsid w:val="3EAF1EF2"/>
    <w:rsid w:val="3EC13AB1"/>
    <w:rsid w:val="3EC17BD0"/>
    <w:rsid w:val="3F2A6DF4"/>
    <w:rsid w:val="3F860F17"/>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E95FE1"/>
    <w:rsid w:val="40F00A05"/>
    <w:rsid w:val="4145017A"/>
    <w:rsid w:val="414674CC"/>
    <w:rsid w:val="415A2CC0"/>
    <w:rsid w:val="422A1926"/>
    <w:rsid w:val="422E2232"/>
    <w:rsid w:val="428B0580"/>
    <w:rsid w:val="42A1254A"/>
    <w:rsid w:val="42DC702D"/>
    <w:rsid w:val="436721C3"/>
    <w:rsid w:val="436B501D"/>
    <w:rsid w:val="43E81315"/>
    <w:rsid w:val="43ED0DC6"/>
    <w:rsid w:val="43F6021A"/>
    <w:rsid w:val="445A63EC"/>
    <w:rsid w:val="448925A7"/>
    <w:rsid w:val="44CF0832"/>
    <w:rsid w:val="44F52628"/>
    <w:rsid w:val="45074D59"/>
    <w:rsid w:val="45464C32"/>
    <w:rsid w:val="456D124F"/>
    <w:rsid w:val="45736F3D"/>
    <w:rsid w:val="45B849DB"/>
    <w:rsid w:val="45D05D03"/>
    <w:rsid w:val="45EB4460"/>
    <w:rsid w:val="46036001"/>
    <w:rsid w:val="46113D93"/>
    <w:rsid w:val="46247CE3"/>
    <w:rsid w:val="467B79D1"/>
    <w:rsid w:val="46A240EA"/>
    <w:rsid w:val="46A41C10"/>
    <w:rsid w:val="46FC1A4C"/>
    <w:rsid w:val="471C0069"/>
    <w:rsid w:val="47261496"/>
    <w:rsid w:val="47385407"/>
    <w:rsid w:val="4748767B"/>
    <w:rsid w:val="474B478B"/>
    <w:rsid w:val="47507FEA"/>
    <w:rsid w:val="47590C4D"/>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420397"/>
    <w:rsid w:val="4946789F"/>
    <w:rsid w:val="494D22DA"/>
    <w:rsid w:val="497A378B"/>
    <w:rsid w:val="497D0831"/>
    <w:rsid w:val="49853483"/>
    <w:rsid w:val="498F4F4D"/>
    <w:rsid w:val="49961747"/>
    <w:rsid w:val="49A07007"/>
    <w:rsid w:val="49B2306E"/>
    <w:rsid w:val="49DB0F64"/>
    <w:rsid w:val="49E461D7"/>
    <w:rsid w:val="4A1026DE"/>
    <w:rsid w:val="4A367F40"/>
    <w:rsid w:val="4A377BA8"/>
    <w:rsid w:val="4A587F22"/>
    <w:rsid w:val="4A6873F9"/>
    <w:rsid w:val="4A767D68"/>
    <w:rsid w:val="4A9D3350"/>
    <w:rsid w:val="4ABB259D"/>
    <w:rsid w:val="4AD05DD7"/>
    <w:rsid w:val="4B313C8F"/>
    <w:rsid w:val="4B4939E9"/>
    <w:rsid w:val="4B5F27F6"/>
    <w:rsid w:val="4B623D55"/>
    <w:rsid w:val="4B7B7106"/>
    <w:rsid w:val="4B904326"/>
    <w:rsid w:val="4BB07C37"/>
    <w:rsid w:val="4BBA1B91"/>
    <w:rsid w:val="4BC93EC7"/>
    <w:rsid w:val="4BDB1B9D"/>
    <w:rsid w:val="4BEB56F3"/>
    <w:rsid w:val="4C0A26DC"/>
    <w:rsid w:val="4C4A79D9"/>
    <w:rsid w:val="4CD036ED"/>
    <w:rsid w:val="4CDB5E9D"/>
    <w:rsid w:val="4CF64C11"/>
    <w:rsid w:val="4D01600E"/>
    <w:rsid w:val="4D0B18BC"/>
    <w:rsid w:val="4D7301D3"/>
    <w:rsid w:val="4D946928"/>
    <w:rsid w:val="4D9B2C01"/>
    <w:rsid w:val="4E2F3CB5"/>
    <w:rsid w:val="4E797E26"/>
    <w:rsid w:val="4E891312"/>
    <w:rsid w:val="4E995FA0"/>
    <w:rsid w:val="4EA7314A"/>
    <w:rsid w:val="4EC53DC3"/>
    <w:rsid w:val="4F231257"/>
    <w:rsid w:val="4F257E7B"/>
    <w:rsid w:val="4F2A46CB"/>
    <w:rsid w:val="4F49504B"/>
    <w:rsid w:val="4F50558B"/>
    <w:rsid w:val="4F516358"/>
    <w:rsid w:val="4F8A62BE"/>
    <w:rsid w:val="4FC23DAA"/>
    <w:rsid w:val="4FCC37AE"/>
    <w:rsid w:val="501C61FF"/>
    <w:rsid w:val="502F7AA5"/>
    <w:rsid w:val="5065774B"/>
    <w:rsid w:val="506D45DE"/>
    <w:rsid w:val="50812E54"/>
    <w:rsid w:val="509A5B6D"/>
    <w:rsid w:val="509C58BA"/>
    <w:rsid w:val="50BB6659"/>
    <w:rsid w:val="50D629DB"/>
    <w:rsid w:val="51883B1A"/>
    <w:rsid w:val="518E3ADC"/>
    <w:rsid w:val="51F93910"/>
    <w:rsid w:val="52EB2064"/>
    <w:rsid w:val="52F7497F"/>
    <w:rsid w:val="53136532"/>
    <w:rsid w:val="53191864"/>
    <w:rsid w:val="53481DB7"/>
    <w:rsid w:val="53685179"/>
    <w:rsid w:val="539B29EF"/>
    <w:rsid w:val="53DD14F5"/>
    <w:rsid w:val="53DF697E"/>
    <w:rsid w:val="541E1120"/>
    <w:rsid w:val="542F51AB"/>
    <w:rsid w:val="54412A09"/>
    <w:rsid w:val="548D63DA"/>
    <w:rsid w:val="548E7BE3"/>
    <w:rsid w:val="54991FF4"/>
    <w:rsid w:val="55055DF5"/>
    <w:rsid w:val="55115153"/>
    <w:rsid w:val="553602AD"/>
    <w:rsid w:val="5591749D"/>
    <w:rsid w:val="55AF0690"/>
    <w:rsid w:val="55DF1AD4"/>
    <w:rsid w:val="55F46CC2"/>
    <w:rsid w:val="56296B2A"/>
    <w:rsid w:val="562A1086"/>
    <w:rsid w:val="562C1C22"/>
    <w:rsid w:val="563E45FA"/>
    <w:rsid w:val="566813DD"/>
    <w:rsid w:val="566D0271"/>
    <w:rsid w:val="56966EC4"/>
    <w:rsid w:val="56BE701B"/>
    <w:rsid w:val="56D73E0E"/>
    <w:rsid w:val="56F417AC"/>
    <w:rsid w:val="56FC33A3"/>
    <w:rsid w:val="56FC401E"/>
    <w:rsid w:val="57290489"/>
    <w:rsid w:val="57511940"/>
    <w:rsid w:val="5752715F"/>
    <w:rsid w:val="5788363F"/>
    <w:rsid w:val="57A9195A"/>
    <w:rsid w:val="57EB69B5"/>
    <w:rsid w:val="57EF541B"/>
    <w:rsid w:val="581D1822"/>
    <w:rsid w:val="58390F4F"/>
    <w:rsid w:val="587A7B30"/>
    <w:rsid w:val="58887C1E"/>
    <w:rsid w:val="58BC103B"/>
    <w:rsid w:val="58C1657A"/>
    <w:rsid w:val="58DC3E49"/>
    <w:rsid w:val="58E04B79"/>
    <w:rsid w:val="58E44E4F"/>
    <w:rsid w:val="58EF3877"/>
    <w:rsid w:val="591D4B9C"/>
    <w:rsid w:val="596A4F3B"/>
    <w:rsid w:val="596E04E4"/>
    <w:rsid w:val="59AA37E3"/>
    <w:rsid w:val="59BB2D6C"/>
    <w:rsid w:val="59D91007"/>
    <w:rsid w:val="59E531C8"/>
    <w:rsid w:val="5A011A11"/>
    <w:rsid w:val="5A785436"/>
    <w:rsid w:val="5A9B126C"/>
    <w:rsid w:val="5AC72496"/>
    <w:rsid w:val="5AC800F8"/>
    <w:rsid w:val="5AF060BA"/>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FC1EDA"/>
    <w:rsid w:val="5E203E1A"/>
    <w:rsid w:val="5E3F2010"/>
    <w:rsid w:val="5E4A0A5D"/>
    <w:rsid w:val="5E5359D9"/>
    <w:rsid w:val="5E5463B1"/>
    <w:rsid w:val="5E960E34"/>
    <w:rsid w:val="5EFC384C"/>
    <w:rsid w:val="5F0A3E4D"/>
    <w:rsid w:val="5F2032EF"/>
    <w:rsid w:val="5F225ABD"/>
    <w:rsid w:val="5F2F728C"/>
    <w:rsid w:val="5F653D5B"/>
    <w:rsid w:val="5F670057"/>
    <w:rsid w:val="5F8A0B26"/>
    <w:rsid w:val="5FFA3A67"/>
    <w:rsid w:val="600C3F3C"/>
    <w:rsid w:val="60213E7A"/>
    <w:rsid w:val="60252A3C"/>
    <w:rsid w:val="60BE691E"/>
    <w:rsid w:val="6101510A"/>
    <w:rsid w:val="612C5F4F"/>
    <w:rsid w:val="61682BD1"/>
    <w:rsid w:val="61C049DB"/>
    <w:rsid w:val="61C27C74"/>
    <w:rsid w:val="61F36F67"/>
    <w:rsid w:val="62632088"/>
    <w:rsid w:val="62977EDE"/>
    <w:rsid w:val="629C10B0"/>
    <w:rsid w:val="62AE04EE"/>
    <w:rsid w:val="62FD3623"/>
    <w:rsid w:val="63011D6F"/>
    <w:rsid w:val="63073A94"/>
    <w:rsid w:val="63190CCD"/>
    <w:rsid w:val="636709C9"/>
    <w:rsid w:val="63945E50"/>
    <w:rsid w:val="640D6BC3"/>
    <w:rsid w:val="641C32D6"/>
    <w:rsid w:val="641F0FAB"/>
    <w:rsid w:val="64493F36"/>
    <w:rsid w:val="64EC2CA8"/>
    <w:rsid w:val="64F260BB"/>
    <w:rsid w:val="65752C9E"/>
    <w:rsid w:val="6578402C"/>
    <w:rsid w:val="657A70A6"/>
    <w:rsid w:val="65B37C6A"/>
    <w:rsid w:val="66195D61"/>
    <w:rsid w:val="66383EBB"/>
    <w:rsid w:val="666D7E19"/>
    <w:rsid w:val="66893088"/>
    <w:rsid w:val="66B47A3D"/>
    <w:rsid w:val="66CA288E"/>
    <w:rsid w:val="66D4157A"/>
    <w:rsid w:val="66EC14DA"/>
    <w:rsid w:val="679C3343"/>
    <w:rsid w:val="67A94E39"/>
    <w:rsid w:val="67C070A4"/>
    <w:rsid w:val="67FD4B11"/>
    <w:rsid w:val="680D1544"/>
    <w:rsid w:val="681B641C"/>
    <w:rsid w:val="683743E5"/>
    <w:rsid w:val="689C2C06"/>
    <w:rsid w:val="68AF4719"/>
    <w:rsid w:val="68B72779"/>
    <w:rsid w:val="69165D26"/>
    <w:rsid w:val="691C1B46"/>
    <w:rsid w:val="693A38A6"/>
    <w:rsid w:val="69465A3E"/>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C02CFF"/>
    <w:rsid w:val="6BCD5FCB"/>
    <w:rsid w:val="6BEA4510"/>
    <w:rsid w:val="6BEC7A32"/>
    <w:rsid w:val="6C292A7A"/>
    <w:rsid w:val="6C2D5E2A"/>
    <w:rsid w:val="6C335693"/>
    <w:rsid w:val="6C830727"/>
    <w:rsid w:val="6C886152"/>
    <w:rsid w:val="6CB47465"/>
    <w:rsid w:val="6CCE0573"/>
    <w:rsid w:val="6D970DA5"/>
    <w:rsid w:val="6DA30FD5"/>
    <w:rsid w:val="6DCF0EAA"/>
    <w:rsid w:val="6DE95007"/>
    <w:rsid w:val="6DED5CA2"/>
    <w:rsid w:val="6E395708"/>
    <w:rsid w:val="6E3F2D14"/>
    <w:rsid w:val="6E507C8D"/>
    <w:rsid w:val="6E7D769F"/>
    <w:rsid w:val="6E7F70B9"/>
    <w:rsid w:val="6E950481"/>
    <w:rsid w:val="6ED06684"/>
    <w:rsid w:val="6EE420A1"/>
    <w:rsid w:val="6F3E5FCD"/>
    <w:rsid w:val="6F572DBF"/>
    <w:rsid w:val="6F8A37EA"/>
    <w:rsid w:val="6FC21A38"/>
    <w:rsid w:val="70147557"/>
    <w:rsid w:val="704A264D"/>
    <w:rsid w:val="707675E8"/>
    <w:rsid w:val="70BC0994"/>
    <w:rsid w:val="70D44BF3"/>
    <w:rsid w:val="714B320A"/>
    <w:rsid w:val="714F53C4"/>
    <w:rsid w:val="715C0DF3"/>
    <w:rsid w:val="71687ABE"/>
    <w:rsid w:val="718A78C8"/>
    <w:rsid w:val="71D12898"/>
    <w:rsid w:val="71E7676B"/>
    <w:rsid w:val="71EE1976"/>
    <w:rsid w:val="71F23A7A"/>
    <w:rsid w:val="71F46A46"/>
    <w:rsid w:val="720F2993"/>
    <w:rsid w:val="72AC6DF4"/>
    <w:rsid w:val="72B55021"/>
    <w:rsid w:val="72E21CD2"/>
    <w:rsid w:val="72EB6EB9"/>
    <w:rsid w:val="7371230C"/>
    <w:rsid w:val="73F93D76"/>
    <w:rsid w:val="741714DE"/>
    <w:rsid w:val="74536041"/>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776EC"/>
    <w:rsid w:val="777A6EF8"/>
    <w:rsid w:val="77B77A2C"/>
    <w:rsid w:val="77F713DC"/>
    <w:rsid w:val="78437B56"/>
    <w:rsid w:val="7871663D"/>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2267E0"/>
    <w:rsid w:val="7A4D4BD7"/>
    <w:rsid w:val="7AB829BB"/>
    <w:rsid w:val="7AC83418"/>
    <w:rsid w:val="7AD75DC5"/>
    <w:rsid w:val="7AE83ABA"/>
    <w:rsid w:val="7B18439F"/>
    <w:rsid w:val="7B597DD7"/>
    <w:rsid w:val="7B5B24DE"/>
    <w:rsid w:val="7B6020D8"/>
    <w:rsid w:val="7BA307A7"/>
    <w:rsid w:val="7BA474D9"/>
    <w:rsid w:val="7BAE08F1"/>
    <w:rsid w:val="7BB13CF6"/>
    <w:rsid w:val="7BD25369"/>
    <w:rsid w:val="7BE6722E"/>
    <w:rsid w:val="7BFE3DF2"/>
    <w:rsid w:val="7C19486E"/>
    <w:rsid w:val="7C4E4BCD"/>
    <w:rsid w:val="7C62476A"/>
    <w:rsid w:val="7C7209D7"/>
    <w:rsid w:val="7C730498"/>
    <w:rsid w:val="7C945CA8"/>
    <w:rsid w:val="7CDF016B"/>
    <w:rsid w:val="7D0A3FA7"/>
    <w:rsid w:val="7D2F3C22"/>
    <w:rsid w:val="7D4C4BA9"/>
    <w:rsid w:val="7D783B6E"/>
    <w:rsid w:val="7D9A4228"/>
    <w:rsid w:val="7DCC0B9B"/>
    <w:rsid w:val="7DF161E4"/>
    <w:rsid w:val="7E004D1C"/>
    <w:rsid w:val="7E6002B4"/>
    <w:rsid w:val="7EDB5991"/>
    <w:rsid w:val="7EF15DF3"/>
    <w:rsid w:val="7EFE6EC1"/>
    <w:rsid w:val="7F0337CB"/>
    <w:rsid w:val="7F0561F6"/>
    <w:rsid w:val="7F6B4E3B"/>
    <w:rsid w:val="7F871517"/>
    <w:rsid w:val="7F877B53"/>
    <w:rsid w:val="7FD92E7A"/>
    <w:rsid w:val="7FDC4F84"/>
    <w:rsid w:val="7FEC7BA9"/>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宋体" w:eastAsia="宋体" w:cs="Times New Roman"/>
      <w:sz w:val="21"/>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b/>
      <w:bCs/>
      <w:kern w:val="44"/>
      <w:sz w:val="48"/>
      <w:szCs w:val="48"/>
    </w:rPr>
  </w:style>
  <w:style w:type="paragraph" w:styleId="4">
    <w:name w:val="heading 3"/>
    <w:basedOn w:val="5"/>
    <w:next w:val="1"/>
    <w:autoRedefine/>
    <w:semiHidden/>
    <w:unhideWhenUsed/>
    <w:qFormat/>
    <w:uiPriority w:val="0"/>
    <w:pPr>
      <w:spacing w:before="100" w:beforeAutospacing="1" w:after="100" w:afterAutospacing="1"/>
      <w:jc w:val="left"/>
      <w:outlineLvl w:val="2"/>
    </w:pPr>
    <w:rPr>
      <w:rFonts w:ascii="宋体"/>
      <w:b/>
      <w:sz w:val="27"/>
      <w:szCs w:val="27"/>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Plain Text"/>
    <w:basedOn w:val="1"/>
    <w:autoRedefine/>
    <w:qFormat/>
    <w:uiPriority w:val="0"/>
    <w:rPr>
      <w:rFonts w:ascii="宋体" w:hAnsi="Courier New"/>
      <w:szCs w:val="21"/>
    </w:rPr>
  </w:style>
  <w:style w:type="paragraph" w:customStyle="1" w:styleId="5">
    <w:name w:val="正文格式"/>
    <w:basedOn w:val="1"/>
    <w:qFormat/>
    <w:uiPriority w:val="0"/>
    <w:pPr>
      <w:spacing w:line="580" w:lineRule="exact"/>
      <w:ind w:firstLine="640" w:firstLineChars="200"/>
    </w:pPr>
    <w:rPr>
      <w:rFonts w:ascii="仿宋_GB2312"/>
    </w:rPr>
  </w:style>
  <w:style w:type="paragraph" w:styleId="6">
    <w:name w:val="Normal Indent"/>
    <w:basedOn w:val="1"/>
    <w:autoRedefine/>
    <w:unhideWhenUsed/>
    <w:qFormat/>
    <w:uiPriority w:val="0"/>
    <w:pPr>
      <w:ind w:firstLine="880" w:firstLineChars="200"/>
    </w:pPr>
  </w:style>
  <w:style w:type="paragraph" w:styleId="7">
    <w:name w:val="Body Text"/>
    <w:basedOn w:val="1"/>
    <w:unhideWhenUsed/>
    <w:qFormat/>
    <w:uiPriority w:val="99"/>
    <w:pPr>
      <w:spacing w:after="120"/>
    </w:pPr>
  </w:style>
  <w:style w:type="paragraph" w:styleId="8">
    <w:name w:val="footer"/>
    <w:basedOn w:val="1"/>
    <w:autoRedefine/>
    <w:qFormat/>
    <w:uiPriority w:val="99"/>
    <w:pPr>
      <w:tabs>
        <w:tab w:val="center" w:pos="4153"/>
        <w:tab w:val="right" w:pos="8306"/>
      </w:tabs>
      <w:snapToGrid w:val="0"/>
      <w:jc w:val="left"/>
    </w:pPr>
    <w:rPr>
      <w:sz w:val="18"/>
      <w:szCs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autoRedefine/>
    <w:qFormat/>
    <w:uiPriority w:val="39"/>
    <w:pPr>
      <w:tabs>
        <w:tab w:val="right" w:leader="dot" w:pos="9487"/>
      </w:tabs>
      <w:ind w:left="420" w:leftChars="200"/>
    </w:pPr>
    <w:rPr>
      <w:rFonts w:ascii="仿宋" w:hAnsi="仿宋" w:eastAsia="仿宋"/>
      <w:sz w:val="28"/>
      <w:szCs w:val="28"/>
    </w:rPr>
  </w:style>
  <w:style w:type="paragraph" w:styleId="11">
    <w:name w:val="Normal (Web)"/>
    <w:basedOn w:val="1"/>
    <w:autoRedefine/>
    <w:qFormat/>
    <w:uiPriority w:val="0"/>
    <w:pPr>
      <w:widowControl/>
      <w:spacing w:before="100" w:beforeAutospacing="1" w:after="100" w:afterAutospacing="1"/>
      <w:jc w:val="left"/>
    </w:pPr>
    <w:rPr>
      <w:rFonts w:ascii="宋体" w:cs="宋体"/>
      <w:sz w:val="24"/>
      <w:szCs w:val="24"/>
    </w:rPr>
  </w:style>
  <w:style w:type="table" w:styleId="13">
    <w:name w:val="Table Grid"/>
    <w:basedOn w:val="1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autoRedefine/>
    <w:qFormat/>
    <w:uiPriority w:val="0"/>
    <w:rPr>
      <w:b/>
    </w:rPr>
  </w:style>
  <w:style w:type="character" w:styleId="16">
    <w:name w:val="page number"/>
    <w:basedOn w:val="14"/>
    <w:autoRedefine/>
    <w:qFormat/>
    <w:uiPriority w:val="0"/>
  </w:style>
  <w:style w:type="character" w:styleId="17">
    <w:name w:val="Emphasis"/>
    <w:basedOn w:val="14"/>
    <w:autoRedefine/>
    <w:qFormat/>
    <w:uiPriority w:val="0"/>
    <w:rPr>
      <w:i/>
    </w:rPr>
  </w:style>
  <w:style w:type="character" w:styleId="18">
    <w:name w:val="Hyperlink"/>
    <w:basedOn w:val="14"/>
    <w:autoRedefine/>
    <w:qFormat/>
    <w:uiPriority w:val="0"/>
    <w:rPr>
      <w:color w:val="0000FF"/>
      <w:u w:val="single"/>
    </w:rPr>
  </w:style>
  <w:style w:type="paragraph" w:styleId="19">
    <w:name w:val="List Paragraph"/>
    <w:basedOn w:val="1"/>
    <w:autoRedefine/>
    <w:qFormat/>
    <w:uiPriority w:val="99"/>
    <w:pPr>
      <w:ind w:firstLine="420" w:firstLineChars="200"/>
    </w:pPr>
  </w:style>
  <w:style w:type="character" w:customStyle="1" w:styleId="20">
    <w:name w:val="bjh-p"/>
    <w:basedOn w:val="14"/>
    <w:autoRedefine/>
    <w:qFormat/>
    <w:uiPriority w:val="0"/>
  </w:style>
  <w:style w:type="paragraph" w:styleId="21">
    <w:name w:val="No Spacing"/>
    <w:autoRedefine/>
    <w:qFormat/>
    <w:uiPriority w:val="1"/>
    <w:pPr>
      <w:widowControl w:val="0"/>
      <w:jc w:val="both"/>
    </w:pPr>
    <w:rPr>
      <w:rFonts w:ascii="等线" w:hAnsi="等线"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3087</Words>
  <Characters>3247</Characters>
  <Lines>26</Lines>
  <Paragraphs>7</Paragraphs>
  <TotalTime>1</TotalTime>
  <ScaleCrop>false</ScaleCrop>
  <LinksUpToDate>false</LinksUpToDate>
  <CharactersWithSpaces>3278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we01</dc:creator>
  <cp:lastModifiedBy>we01</cp:lastModifiedBy>
  <dcterms:modified xsi:type="dcterms:W3CDTF">2025-03-07T09:27:56Z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